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4"/>
        </w:rPr>
        <w:t>Comparison with GTCN-G on UNSW-NB15</w:t>
      </w:r>
    </w:p>
    <w:p>
      <w:pPr>
        <w:jc w:val="center"/>
      </w:pPr>
      <w:r>
        <w:rPr>
          <w:sz w:val="24"/>
        </w:rPr>
        <w:t>Replicating the stated setup of one paper, on its own data, and testing its main ideas</w:t>
        <w:br/>
        <w:t>CSE475 group project</w:t>
      </w:r>
    </w:p>
    <w:p>
      <w:pPr>
        <w:pStyle w:val="Heading1"/>
      </w:pPr>
      <w:r>
        <w:t>1. Purpose and short answer</w:t>
      </w:r>
    </w:p>
    <w:p>
      <w:r>
        <w:rPr>
          <w:i w:val="0"/>
        </w:rPr>
        <w:t>We were asked to analyse one paper, GTCN-G (Xu, Wen, Zhao, Hu, Li and Liu, arXiv 2510.07285, a preprint submitted to IEEE TrustCom 2025; https://arxiv.org/abs/2510.07285), to replicate its split and strategy as closely as possible, to see whether our results improve on it, and then to add something of our own. This document compares our results with that paper only. Other related papers are in UNSW-NB15-Literature-Comparison.docx.</w:t>
      </w:r>
    </w:p>
    <w:p>
      <w:r>
        <w:rPr>
          <w:b/>
        </w:rPr>
        <w:t>Short answer:</w:t>
      </w:r>
      <w:r>
        <w:rPr>
          <w:i w:val="0"/>
        </w:rPr>
      </w:r>
    </w:p>
    <w:p>
      <w:pPr>
        <w:pStyle w:val="ListBullet"/>
        <w:spacing w:after="40"/>
      </w:pPr>
      <w:r>
        <w:rPr>
          <w:b/>
        </w:rPr>
        <w:t xml:space="preserve">The paper's data is identified. </w:t>
      </w:r>
      <w:r>
        <w:t>Its Table I lists 700,001 UNSW-NB15 flows with 96.83% Normal. The first raw file, UNSW-NB15_1.csv, has exactly 700,001 rows and the same class mix as the paper's Table II (checked for all ten classes). The other three raw files do not match. Our first replication used all 2,042,340 of our flows, so it was on different data.</w:t>
      </w:r>
    </w:p>
    <w:p>
      <w:pPr>
        <w:pStyle w:val="ListBullet"/>
        <w:spacing w:after="40"/>
      </w:pPr>
      <w:r>
        <w:rPr>
          <w:b/>
        </w:rPr>
        <w:t xml:space="preserve">The paper's scores are not informative on its own data. </w:t>
      </w:r>
      <w:r>
        <w:t>With 96.83% Normal, a model that predicts Normal for every flow has a weighted F1 of about 0.953 (our calculation from the stated class share). The paper reports 0.9512 for GTCN-G and 0.8756 to 0.9178 for its baselines, so all of them are at or below that trivial score. A simple E-GraphSAGE-M style network of ours reaches 0.993 on the paper's data subset.</w:t>
      </w:r>
    </w:p>
    <w:p>
      <w:pPr>
        <w:pStyle w:val="ListBullet"/>
        <w:spacing w:after="40"/>
      </w:pPr>
      <w:r>
        <w:rPr>
          <w:b/>
        </w:rPr>
        <w:t xml:space="preserve">Our implementation of GTCN-G's ideas does not beat the simple network. </w:t>
      </w:r>
      <w:r>
        <w:t>It scores 0.9925 weighted F1 and 0.55 macro F1, against 0.9928 and 0.56 for the baseline. Its parts matter very unequally: the residual branch, which carries the flow's own features, is the one that matters (0.11 macro F1); attention, the temporal branch and the graph convolution make no measurable difference; the graph neighbours add about 0.001 weighted F1.</w:t>
      </w:r>
    </w:p>
    <w:p>
      <w:pPr>
        <w:pStyle w:val="ListBullet"/>
        <w:spacing w:after="40"/>
      </w:pPr>
      <w:r>
        <w:rPr>
          <w:b/>
        </w:rPr>
        <w:t xml:space="preserve">The imbalance problem the paper targets is not solved by loss changes. </w:t>
      </w:r>
      <w:r>
        <w:t>Class weights and a logit-adjusted loss did not raise macro F1 (they lowered it in the seed-42 paired test), and tuned class scales added at most 0.012. About 80% of Analysis and Backdoor flows have an identical-feature twin of another class, which caps the F1 any model on these features can reach at about 0.38 and 0.37 (in sample); our models reach about 0.2, so the overlap explains part of the shortfall, not all of it.</w:t>
      </w:r>
    </w:p>
    <w:p>
      <w:pPr>
        <w:pStyle w:val="ListBullet"/>
        <w:spacing w:after="40"/>
      </w:pPr>
      <w:r>
        <w:rPr>
          <w:b/>
        </w:rPr>
        <w:t xml:space="preserve">Why the scores stop, and what can be done. </w:t>
      </w:r>
      <w:r>
        <w:t>Neither the raw columns we had dropped, nor the IP addresses, nor the time order separate the overlapping classes, and the data has only 40 source and 44 destination hosts, so a graph has little to add. What can be reported is a set of possible classes instead of one label: sets of about 2.3 to 2.7 of the 9 attack classes hold the true class of Analysis, Backdoor and DoS flows for 83% to 92% of detected flows (target 90%), against 20% to 35% for a single label. These sets are no more efficient than a fixed top-3; they add a coverage statement.</w:t>
      </w:r>
    </w:p>
    <w:p>
      <w:pPr>
        <w:pStyle w:val="ListBullet"/>
        <w:spacing w:after="40"/>
      </w:pPr>
      <w:r>
        <w:rPr>
          <w:b/>
        </w:rPr>
        <w:t xml:space="preserve">What we claim. </w:t>
      </w:r>
      <w:r>
        <w:t>A data-grounded re-evaluation of the paper: its data, its trivial baseline, the contribution of each of its ideas, the limit on its minority-class goal and a way to report that limit (conformal sets). We do not claim a model that beats GTCN-G, and we did not obtain the authors' code.</w:t>
      </w:r>
    </w:p>
    <w:p>
      <w:pPr>
        <w:pStyle w:val="Heading1"/>
      </w:pPr>
      <w:r>
        <w:t>2. What the paper states</w:t>
      </w:r>
    </w:p>
    <w:p>
      <w:r>
        <w:rPr>
          <w:i w:val="0"/>
        </w:rPr>
        <w:t>The details below are from the PDF of arXiv version 3 (14 April 2026), read in full; the numbers in Table 1 of this document match its Table IV. The paper has no per-class scores (only confusion-matrix figures) and we found no code link.</w:t>
      </w:r>
    </w:p>
    <w:tbl>
      <w:tblPr>
        <w:tblStyle w:val="TableGrid"/>
        <w:tblW w:type="auto" w:w="0"/>
        <w:jc w:val="center"/>
        <w:tblLook w:firstColumn="1" w:firstRow="1" w:lastColumn="0" w:lastRow="0" w:noHBand="0" w:noVBand="1" w:val="04A0"/>
      </w:tblPr>
      <w:tblGrid>
        <w:gridCol w:w="4680"/>
        <w:gridCol w:w="4680"/>
      </w:tblGrid>
      <w:tr>
        <w:tc>
          <w:tcPr>
            <w:tcW w:type="dxa" w:w="1872"/>
            <w:shd w:val="clear" w:color="auto" w:fill="DCE6F1"/>
          </w:tcPr>
          <w:p>
            <w:pPr>
              <w:spacing w:after="20"/>
            </w:pPr>
            <w:r/>
            <w:r>
              <w:rPr>
                <w:b/>
                <w:sz w:val="20"/>
              </w:rPr>
              <w:t>Item</w:t>
            </w:r>
          </w:p>
        </w:tc>
        <w:tc>
          <w:tcPr>
            <w:tcW w:type="dxa" w:w="7488"/>
            <w:shd w:val="clear" w:color="auto" w:fill="DCE6F1"/>
          </w:tcPr>
          <w:p>
            <w:pPr>
              <w:spacing w:after="20"/>
            </w:pPr>
            <w:r/>
            <w:r>
              <w:rPr>
                <w:b/>
                <w:sz w:val="20"/>
              </w:rPr>
              <w:t>What the paper says</w:t>
            </w:r>
          </w:p>
        </w:tc>
      </w:tr>
      <w:tr>
        <w:tc>
          <w:tcPr>
            <w:tcW w:type="dxa" w:w="1872"/>
          </w:tcPr>
          <w:p>
            <w:pPr>
              <w:spacing w:after="20"/>
            </w:pPr>
            <w:r/>
            <w:r>
              <w:rPr>
                <w:sz w:val="20"/>
              </w:rPr>
              <w:t>Datasets</w:t>
            </w:r>
          </w:p>
        </w:tc>
        <w:tc>
          <w:tcPr>
            <w:tcW w:type="dxa" w:w="7488"/>
          </w:tcPr>
          <w:p>
            <w:pPr>
              <w:spacing w:after="20"/>
            </w:pPr>
            <w:r/>
            <w:r>
              <w:rPr>
                <w:sz w:val="20"/>
              </w:rPr>
              <w:t>UNSW-NB15 and ToN-IoT. For UNSW-NB15 'the full set of provided instances is used'; its Table I lists 700,001 examples, 43 features and 96.83% Normal. File names are not given.</w:t>
            </w:r>
          </w:p>
        </w:tc>
      </w:tr>
      <w:tr>
        <w:tc>
          <w:tcPr>
            <w:tcW w:type="dxa" w:w="1872"/>
          </w:tcPr>
          <w:p>
            <w:pPr>
              <w:spacing w:after="20"/>
            </w:pPr>
            <w:r/>
            <w:r>
              <w:rPr>
                <w:sz w:val="20"/>
              </w:rPr>
              <w:t>Class mix</w:t>
            </w:r>
          </w:p>
        </w:tc>
        <w:tc>
          <w:tcPr>
            <w:tcW w:type="dxa" w:w="7488"/>
          </w:tcPr>
          <w:p>
            <w:pPr>
              <w:spacing w:after="20"/>
            </w:pPr>
            <w:r/>
            <w:r>
              <w:rPr>
                <w:sz w:val="20"/>
              </w:rPr>
              <w:t>Table II, UNSW-NB15: Normal 96.83%, Generic 1.07, Exploits 0.773, Fuzzers 0.722, Reconnaissance 0.251, DoS 0.167, Backdoor 0.076, Analysis 0.075, Shellcode 0.032, Worms 0.003. By our calculation from these rounded percentages Worms is about 20 flows in all and about 6 in a 30% test set.</w:t>
            </w:r>
          </w:p>
        </w:tc>
      </w:tr>
      <w:tr>
        <w:tc>
          <w:tcPr>
            <w:tcW w:type="dxa" w:w="1872"/>
          </w:tcPr>
          <w:p>
            <w:pPr>
              <w:spacing w:after="20"/>
            </w:pPr>
            <w:r/>
            <w:r>
              <w:rPr>
                <w:sz w:val="20"/>
              </w:rPr>
              <w:t>Task</w:t>
            </w:r>
          </w:p>
        </w:tc>
        <w:tc>
          <w:tcPr>
            <w:tcW w:type="dxa" w:w="7488"/>
          </w:tcPr>
          <w:p>
            <w:pPr>
              <w:spacing w:after="20"/>
            </w:pPr>
            <w:r/>
            <w:r>
              <w:rPr>
                <w:sz w:val="20"/>
              </w:rPr>
              <w:t>10 classes (Normal and nine attack types) and a binary attack-or-not task.</w:t>
            </w:r>
          </w:p>
        </w:tc>
      </w:tr>
      <w:tr>
        <w:tc>
          <w:tcPr>
            <w:tcW w:type="dxa" w:w="1872"/>
          </w:tcPr>
          <w:p>
            <w:pPr>
              <w:spacing w:after="20"/>
            </w:pPr>
            <w:r/>
            <w:r>
              <w:rPr>
                <w:sz w:val="20"/>
              </w:rPr>
              <w:t>Split</w:t>
            </w:r>
          </w:p>
        </w:tc>
        <w:tc>
          <w:tcPr>
            <w:tcW w:type="dxa" w:w="7488"/>
          </w:tcPr>
          <w:p>
            <w:pPr>
              <w:spacing w:after="20"/>
            </w:pPr>
            <w:r/>
            <w:r>
              <w:rPr>
                <w:sz w:val="20"/>
              </w:rPr>
              <w:t>Train / validation / test = 5:2:3. Whether it is random, stratified or temporal is not stated.</w:t>
            </w:r>
          </w:p>
        </w:tc>
      </w:tr>
      <w:tr>
        <w:tc>
          <w:tcPr>
            <w:tcW w:type="dxa" w:w="1872"/>
          </w:tcPr>
          <w:p>
            <w:pPr>
              <w:spacing w:after="20"/>
            </w:pPr>
            <w:r/>
            <w:r>
              <w:rPr>
                <w:sz w:val="20"/>
              </w:rPr>
              <w:t>Preprocessing</w:t>
            </w:r>
          </w:p>
        </w:tc>
        <w:tc>
          <w:tcPr>
            <w:tcW w:type="dxa" w:w="7488"/>
          </w:tcPr>
          <w:p>
            <w:pPr>
              <w:spacing w:after="20"/>
            </w:pPr>
            <w:r/>
            <w:r>
              <w:rPr>
                <w:sz w:val="20"/>
              </w:rPr>
              <w:t>Not stated (duplicates, dropped columns, scaling, encoding).</w:t>
            </w:r>
          </w:p>
        </w:tc>
      </w:tr>
      <w:tr>
        <w:tc>
          <w:tcPr>
            <w:tcW w:type="dxa" w:w="1872"/>
          </w:tcPr>
          <w:p>
            <w:pPr>
              <w:spacing w:after="20"/>
            </w:pPr>
            <w:r/>
            <w:r>
              <w:rPr>
                <w:sz w:val="20"/>
              </w:rPr>
              <w:t>Graph</w:t>
            </w:r>
          </w:p>
        </w:tc>
        <w:tc>
          <w:tcPr>
            <w:tcW w:type="dxa" w:w="7488"/>
          </w:tcPr>
          <w:p>
            <w:pPr>
              <w:spacing w:after="20"/>
            </w:pPr>
            <w:r/>
            <w:r>
              <w:rPr>
                <w:sz w:val="20"/>
              </w:rPr>
              <w:t>Nodes are endpoints (IP address and port); a flow between two endpoints is an edge. The bipartite graph is turned into a line graph so that flows become nodes; virtual nodes are added when the two sides differ in size.</w:t>
            </w:r>
          </w:p>
        </w:tc>
      </w:tr>
      <w:tr>
        <w:tc>
          <w:tcPr>
            <w:tcW w:type="dxa" w:w="1872"/>
          </w:tcPr>
          <w:p>
            <w:pPr>
              <w:spacing w:after="20"/>
            </w:pPr>
            <w:r/>
            <w:r>
              <w:rPr>
                <w:sz w:val="20"/>
              </w:rPr>
              <w:t>GTCN-G</w:t>
            </w:r>
          </w:p>
        </w:tc>
        <w:tc>
          <w:tcPr>
            <w:tcW w:type="dxa" w:w="7488"/>
          </w:tcPr>
          <w:p>
            <w:pPr>
              <w:spacing w:after="20"/>
            </w:pPr>
            <w:r/>
            <w:r>
              <w:rPr>
                <w:sz w:val="20"/>
              </w:rPr>
              <w:t>A residual graph-temporal fusion network: gated temporal convolution with graph convolution and a 6-head attention (attention dropout 0.5). The number of layers was tuned on validation but its value is not given, and how the temporal input sequences are built from the flows is not described.</w:t>
            </w:r>
          </w:p>
        </w:tc>
      </w:tr>
      <w:tr>
        <w:tc>
          <w:tcPr>
            <w:tcW w:type="dxa" w:w="1872"/>
          </w:tcPr>
          <w:p>
            <w:pPr>
              <w:spacing w:after="20"/>
            </w:pPr>
            <w:r/>
            <w:r>
              <w:rPr>
                <w:sz w:val="20"/>
              </w:rPr>
              <w:t>Training</w:t>
            </w:r>
          </w:p>
        </w:tc>
        <w:tc>
          <w:tcPr>
            <w:tcW w:type="dxa" w:w="7488"/>
          </w:tcPr>
          <w:p>
            <w:pPr>
              <w:spacing w:after="20"/>
            </w:pPr>
            <w:r/>
            <w:r>
              <w:rPr>
                <w:sz w:val="20"/>
              </w:rPr>
              <w:t>10 epochs, mini-batches of 500, learning rate 0.007 for UNSW-NB15 (0.01 for ToN-IoT), given in the settings shared by all models ('learning rates were optimized on the validation set'). Optimizer, loss and class weighting are not stated.</w:t>
            </w:r>
          </w:p>
        </w:tc>
      </w:tr>
      <w:tr>
        <w:tc>
          <w:tcPr>
            <w:tcW w:type="dxa" w:w="1872"/>
          </w:tcPr>
          <w:p>
            <w:pPr>
              <w:spacing w:after="20"/>
            </w:pPr>
            <w:r/>
            <w:r>
              <w:rPr>
                <w:sz w:val="20"/>
              </w:rPr>
              <w:t>Baselines</w:t>
            </w:r>
          </w:p>
        </w:tc>
        <w:tc>
          <w:tcPr>
            <w:tcW w:type="dxa" w:w="7488"/>
          </w:tcPr>
          <w:p>
            <w:pPr>
              <w:spacing w:after="20"/>
            </w:pPr>
            <w:r/>
            <w:r>
              <w:rPr>
                <w:sz w:val="20"/>
              </w:rPr>
              <w:t>E-GraphSAGE (original), E-GraphSAGE-M (mini-batch version: two layers, mean aggregator, ReLU, 2-hop sampling with 8 neighbours per hop) and GAT, run on the same split. GAT is described as a standard GAT used to ablate the residual connections. Their hyperparameters are not fully given, and it is not clear whether the paper's E-GraphSAGE-M includes the paper's own modification (adding the flow's original features to the final edge embedding, its Eq. 4). No tree models and no network without the graph are among them.</w:t>
            </w:r>
          </w:p>
        </w:tc>
      </w:tr>
      <w:tr>
        <w:tc>
          <w:tcPr>
            <w:tcW w:type="dxa" w:w="1872"/>
          </w:tcPr>
          <w:p>
            <w:pPr>
              <w:spacing w:after="20"/>
            </w:pPr>
            <w:r/>
            <w:r>
              <w:rPr>
                <w:sz w:val="20"/>
              </w:rPr>
              <w:t>Metric</w:t>
            </w:r>
          </w:p>
        </w:tc>
        <w:tc>
          <w:tcPr>
            <w:tcW w:type="dxa" w:w="7488"/>
          </w:tcPr>
          <w:p>
            <w:pPr>
              <w:spacing w:after="20"/>
            </w:pPr>
            <w:r/>
            <w:r>
              <w:rPr>
                <w:sz w:val="20"/>
              </w:rPr>
              <w:t>F1. For the 10-class task it states weighted F1. For the binary task it says only 'F1-score' and defines TP as attacks correctly classified, which suggests F1 of the attack class; the averaging is not stated.</w:t>
            </w:r>
          </w:p>
        </w:tc>
      </w:tr>
      <w:tr>
        <w:tc>
          <w:tcPr>
            <w:tcW w:type="dxa" w:w="1872"/>
          </w:tcPr>
          <w:p>
            <w:pPr>
              <w:spacing w:after="20"/>
            </w:pPr>
            <w:r/>
            <w:r>
              <w:rPr>
                <w:sz w:val="20"/>
              </w:rPr>
              <w:t>Code</w:t>
            </w:r>
          </w:p>
        </w:tc>
        <w:tc>
          <w:tcPr>
            <w:tcW w:type="dxa" w:w="7488"/>
          </w:tcPr>
          <w:p>
            <w:pPr>
              <w:spacing w:after="20"/>
            </w:pPr>
            <w:r/>
            <w:r>
              <w:rPr>
                <w:sz w:val="20"/>
              </w:rPr>
              <w:t>No link found.</w:t>
            </w:r>
          </w:p>
        </w:tc>
      </w:tr>
    </w:tbl>
    <w:p>
      <w:pPr>
        <w:spacing w:after="40"/>
      </w:pPr>
    </w:p>
    <w:p>
      <w:r>
        <w:rPr>
          <w:i/>
        </w:rPr>
        <w:t>Table 1. F1 on UNSW-NB15 as reported in the paper (Table IV there).</w:t>
      </w:r>
    </w:p>
    <w:tbl>
      <w:tblPr>
        <w:tblStyle w:val="TableGrid"/>
        <w:tblW w:type="auto" w:w="0"/>
        <w:jc w:val="center"/>
        <w:tblLook w:firstColumn="1" w:firstRow="1" w:lastColumn="0" w:lastRow="0" w:noHBand="0" w:noVBand="1" w:val="04A0"/>
      </w:tblPr>
      <w:tblGrid>
        <w:gridCol w:w="3120"/>
        <w:gridCol w:w="3120"/>
        <w:gridCol w:w="3120"/>
      </w:tblGrid>
      <w:tr>
        <w:tc>
          <w:tcPr>
            <w:tcW w:type="dxa" w:w="3456"/>
            <w:shd w:val="clear" w:color="auto" w:fill="DCE6F1"/>
          </w:tcPr>
          <w:p>
            <w:pPr>
              <w:spacing w:after="20"/>
            </w:pPr>
            <w:r/>
            <w:r>
              <w:rPr>
                <w:b/>
                <w:sz w:val="20"/>
              </w:rPr>
              <w:t>Model</w:t>
            </w:r>
          </w:p>
        </w:tc>
        <w:tc>
          <w:tcPr>
            <w:tcW w:type="dxa" w:w="2016"/>
            <w:shd w:val="clear" w:color="auto" w:fill="DCE6F1"/>
          </w:tcPr>
          <w:p>
            <w:pPr>
              <w:spacing w:after="20"/>
            </w:pPr>
            <w:r/>
            <w:r>
              <w:rPr>
                <w:b/>
                <w:sz w:val="20"/>
              </w:rPr>
              <w:t>Binary</w:t>
            </w:r>
          </w:p>
        </w:tc>
        <w:tc>
          <w:tcPr>
            <w:tcW w:type="dxa" w:w="2736"/>
            <w:shd w:val="clear" w:color="auto" w:fill="DCE6F1"/>
          </w:tcPr>
          <w:p>
            <w:pPr>
              <w:spacing w:after="20"/>
            </w:pPr>
            <w:r/>
            <w:r>
              <w:rPr>
                <w:b/>
                <w:sz w:val="20"/>
              </w:rPr>
              <w:t>10 classes (weighted F1)</w:t>
            </w:r>
          </w:p>
        </w:tc>
      </w:tr>
      <w:tr>
        <w:tc>
          <w:tcPr>
            <w:tcW w:type="dxa" w:w="3456"/>
          </w:tcPr>
          <w:p>
            <w:pPr>
              <w:spacing w:after="20"/>
            </w:pPr>
            <w:r/>
            <w:r>
              <w:rPr>
                <w:sz w:val="20"/>
              </w:rPr>
              <w:t>E-GraphSAGE</w:t>
            </w:r>
          </w:p>
        </w:tc>
        <w:tc>
          <w:tcPr>
            <w:tcW w:type="dxa" w:w="2016"/>
          </w:tcPr>
          <w:p>
            <w:pPr>
              <w:spacing w:after="20"/>
            </w:pPr>
            <w:r/>
            <w:r>
              <w:rPr>
                <w:sz w:val="20"/>
              </w:rPr>
              <w:t>0.9023</w:t>
            </w:r>
          </w:p>
        </w:tc>
        <w:tc>
          <w:tcPr>
            <w:tcW w:type="dxa" w:w="2736"/>
          </w:tcPr>
          <w:p>
            <w:pPr>
              <w:spacing w:after="20"/>
            </w:pPr>
            <w:r/>
            <w:r>
              <w:rPr>
                <w:sz w:val="20"/>
              </w:rPr>
              <w:t>0.8756</w:t>
            </w:r>
          </w:p>
        </w:tc>
      </w:tr>
      <w:tr>
        <w:tc>
          <w:tcPr>
            <w:tcW w:type="dxa" w:w="3456"/>
          </w:tcPr>
          <w:p>
            <w:pPr>
              <w:spacing w:after="20"/>
            </w:pPr>
            <w:r/>
            <w:r>
              <w:rPr>
                <w:sz w:val="20"/>
              </w:rPr>
              <w:t>E-GraphSAGE-M</w:t>
            </w:r>
          </w:p>
        </w:tc>
        <w:tc>
          <w:tcPr>
            <w:tcW w:type="dxa" w:w="2016"/>
          </w:tcPr>
          <w:p>
            <w:pPr>
              <w:spacing w:after="20"/>
            </w:pPr>
            <w:r/>
            <w:r>
              <w:rPr>
                <w:sz w:val="20"/>
              </w:rPr>
              <w:t>0.9234</w:t>
            </w:r>
          </w:p>
        </w:tc>
        <w:tc>
          <w:tcPr>
            <w:tcW w:type="dxa" w:w="2736"/>
          </w:tcPr>
          <w:p>
            <w:pPr>
              <w:spacing w:after="20"/>
            </w:pPr>
            <w:r/>
            <w:r>
              <w:rPr>
                <w:sz w:val="20"/>
              </w:rPr>
              <w:t>0.8934</w:t>
            </w:r>
          </w:p>
        </w:tc>
      </w:tr>
      <w:tr>
        <w:tc>
          <w:tcPr>
            <w:tcW w:type="dxa" w:w="3456"/>
          </w:tcPr>
          <w:p>
            <w:pPr>
              <w:spacing w:after="20"/>
            </w:pPr>
            <w:r/>
            <w:r>
              <w:rPr>
                <w:sz w:val="20"/>
              </w:rPr>
              <w:t>GAT</w:t>
            </w:r>
          </w:p>
        </w:tc>
        <w:tc>
          <w:tcPr>
            <w:tcW w:type="dxa" w:w="2016"/>
          </w:tcPr>
          <w:p>
            <w:pPr>
              <w:spacing w:after="20"/>
            </w:pPr>
            <w:r/>
            <w:r>
              <w:rPr>
                <w:sz w:val="20"/>
              </w:rPr>
              <w:t>0.9456</w:t>
            </w:r>
          </w:p>
        </w:tc>
        <w:tc>
          <w:tcPr>
            <w:tcW w:type="dxa" w:w="2736"/>
          </w:tcPr>
          <w:p>
            <w:pPr>
              <w:spacing w:after="20"/>
            </w:pPr>
            <w:r/>
            <w:r>
              <w:rPr>
                <w:sz w:val="20"/>
              </w:rPr>
              <w:t>0.9178</w:t>
            </w:r>
          </w:p>
        </w:tc>
      </w:tr>
      <w:tr>
        <w:tc>
          <w:tcPr>
            <w:tcW w:type="dxa" w:w="3456"/>
          </w:tcPr>
          <w:p>
            <w:pPr>
              <w:spacing w:after="20"/>
            </w:pPr>
            <w:r/>
            <w:r>
              <w:rPr>
                <w:b/>
                <w:sz w:val="20"/>
              </w:rPr>
              <w:t>GTCN-G</w:t>
            </w:r>
          </w:p>
        </w:tc>
        <w:tc>
          <w:tcPr>
            <w:tcW w:type="dxa" w:w="2016"/>
          </w:tcPr>
          <w:p>
            <w:pPr>
              <w:spacing w:after="20"/>
            </w:pPr>
            <w:r/>
            <w:r>
              <w:rPr>
                <w:b/>
                <w:sz w:val="20"/>
              </w:rPr>
              <w:t>0.9689</w:t>
            </w:r>
          </w:p>
        </w:tc>
        <w:tc>
          <w:tcPr>
            <w:tcW w:type="dxa" w:w="2736"/>
          </w:tcPr>
          <w:p>
            <w:pPr>
              <w:spacing w:after="20"/>
            </w:pPr>
            <w:r/>
            <w:r>
              <w:rPr>
                <w:b/>
                <w:sz w:val="20"/>
              </w:rPr>
              <w:t>0.9512</w:t>
            </w:r>
          </w:p>
        </w:tc>
      </w:tr>
    </w:tbl>
    <w:p>
      <w:pPr>
        <w:spacing w:after="40"/>
      </w:pPr>
    </w:p>
    <w:p>
      <w:pPr>
        <w:pStyle w:val="Heading1"/>
      </w:pPr>
      <w:r>
        <w:t>3. Which data the paper used</w:t>
      </w:r>
    </w:p>
    <w:p>
      <w:r>
        <w:rPr>
          <w:i w:val="0"/>
        </w:rPr>
        <w:t>We counted the rows and class shares of the four raw UNSW-NB15 files (notebook unsw-nb15-raw-rowcount-check).</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2304"/>
            <w:shd w:val="clear" w:color="auto" w:fill="DCE6F1"/>
          </w:tcPr>
          <w:p>
            <w:pPr>
              <w:spacing w:after="20"/>
            </w:pPr>
            <w:r/>
            <w:r>
              <w:rPr>
                <w:b/>
                <w:sz w:val="20"/>
              </w:rPr>
              <w:t>File</w:t>
            </w:r>
          </w:p>
        </w:tc>
        <w:tc>
          <w:tcPr>
            <w:tcW w:type="dxa" w:w="1296"/>
            <w:shd w:val="clear" w:color="auto" w:fill="DCE6F1"/>
          </w:tcPr>
          <w:p>
            <w:pPr>
              <w:spacing w:after="20"/>
            </w:pPr>
            <w:r/>
            <w:r>
              <w:rPr>
                <w:b/>
                <w:sz w:val="20"/>
              </w:rPr>
              <w:t>Rows</w:t>
            </w:r>
          </w:p>
        </w:tc>
        <w:tc>
          <w:tcPr>
            <w:tcW w:type="dxa" w:w="1296"/>
            <w:shd w:val="clear" w:color="auto" w:fill="DCE6F1"/>
          </w:tcPr>
          <w:p>
            <w:pPr>
              <w:spacing w:after="20"/>
            </w:pPr>
            <w:r/>
            <w:r>
              <w:rPr>
                <w:b/>
                <w:sz w:val="20"/>
              </w:rPr>
              <w:t>Normal (%)</w:t>
            </w:r>
          </w:p>
        </w:tc>
        <w:tc>
          <w:tcPr>
            <w:tcW w:type="dxa" w:w="1584"/>
            <w:shd w:val="clear" w:color="auto" w:fill="DCE6F1"/>
          </w:tcPr>
          <w:p>
            <w:pPr>
              <w:spacing w:after="20"/>
            </w:pPr>
            <w:r/>
            <w:r>
              <w:rPr>
                <w:b/>
                <w:sz w:val="20"/>
              </w:rPr>
              <w:t>Duplicate rows</w:t>
            </w:r>
          </w:p>
        </w:tc>
        <w:tc>
          <w:tcPr>
            <w:tcW w:type="dxa" w:w="2880"/>
            <w:shd w:val="clear" w:color="auto" w:fill="DCE6F1"/>
          </w:tcPr>
          <w:p>
            <w:pPr>
              <w:spacing w:after="20"/>
            </w:pPr>
            <w:r/>
            <w:r>
              <w:rPr>
                <w:b/>
                <w:sz w:val="20"/>
              </w:rPr>
              <w:t>Matches the paper's Table I and II?</w:t>
            </w:r>
          </w:p>
        </w:tc>
      </w:tr>
      <w:tr>
        <w:tc>
          <w:tcPr>
            <w:tcW w:type="dxa" w:w="2304"/>
          </w:tcPr>
          <w:p>
            <w:pPr>
              <w:spacing w:after="20"/>
            </w:pPr>
            <w:r/>
            <w:r>
              <w:rPr>
                <w:sz w:val="20"/>
              </w:rPr>
              <w:t>UNSW-NB15_1.csv</w:t>
            </w:r>
          </w:p>
        </w:tc>
        <w:tc>
          <w:tcPr>
            <w:tcW w:type="dxa" w:w="1296"/>
          </w:tcPr>
          <w:p>
            <w:pPr>
              <w:spacing w:after="20"/>
            </w:pPr>
            <w:r/>
            <w:r>
              <w:rPr>
                <w:sz w:val="20"/>
              </w:rPr>
              <w:t>700,001</w:t>
            </w:r>
          </w:p>
        </w:tc>
        <w:tc>
          <w:tcPr>
            <w:tcW w:type="dxa" w:w="1296"/>
          </w:tcPr>
          <w:p>
            <w:pPr>
              <w:spacing w:after="20"/>
            </w:pPr>
            <w:r/>
            <w:r>
              <w:rPr>
                <w:sz w:val="20"/>
              </w:rPr>
              <w:t>96.826</w:t>
            </w:r>
          </w:p>
        </w:tc>
        <w:tc>
          <w:tcPr>
            <w:tcW w:type="dxa" w:w="1584"/>
          </w:tcPr>
          <w:p>
            <w:pPr>
              <w:spacing w:after="20"/>
            </w:pPr>
            <w:r/>
            <w:r>
              <w:rPr>
                <w:sz w:val="20"/>
              </w:rPr>
              <w:t>59,213</w:t>
            </w:r>
          </w:p>
        </w:tc>
        <w:tc>
          <w:tcPr>
            <w:tcW w:type="dxa" w:w="2880"/>
          </w:tcPr>
          <w:p>
            <w:pPr>
              <w:spacing w:after="20"/>
            </w:pPr>
            <w:r/>
            <w:r>
              <w:rPr>
                <w:sz w:val="20"/>
              </w:rPr>
              <w:t>Yes, all ten class shares agree</w:t>
            </w:r>
          </w:p>
        </w:tc>
      </w:tr>
      <w:tr>
        <w:tc>
          <w:tcPr>
            <w:tcW w:type="dxa" w:w="2304"/>
          </w:tcPr>
          <w:p>
            <w:pPr>
              <w:spacing w:after="20"/>
            </w:pPr>
            <w:r/>
            <w:r>
              <w:rPr>
                <w:sz w:val="20"/>
              </w:rPr>
              <w:t>UNSW-NB15_2.csv</w:t>
            </w:r>
          </w:p>
        </w:tc>
        <w:tc>
          <w:tcPr>
            <w:tcW w:type="dxa" w:w="1296"/>
          </w:tcPr>
          <w:p>
            <w:pPr>
              <w:spacing w:after="20"/>
            </w:pPr>
            <w:r/>
            <w:r>
              <w:rPr>
                <w:sz w:val="20"/>
              </w:rPr>
              <w:t>700,001</w:t>
            </w:r>
          </w:p>
        </w:tc>
        <w:tc>
          <w:tcPr>
            <w:tcW w:type="dxa" w:w="1296"/>
          </w:tcPr>
          <w:p>
            <w:pPr>
              <w:spacing w:after="20"/>
            </w:pPr>
            <w:r/>
            <w:r>
              <w:rPr>
                <w:sz w:val="20"/>
              </w:rPr>
              <w:t>92.464</w:t>
            </w:r>
          </w:p>
        </w:tc>
        <w:tc>
          <w:tcPr>
            <w:tcW w:type="dxa" w:w="1584"/>
          </w:tcPr>
          <w:p>
            <w:pPr>
              <w:spacing w:after="20"/>
            </w:pPr>
            <w:r/>
            <w:r>
              <w:rPr>
                <w:sz w:val="20"/>
              </w:rPr>
              <w:t>63,248</w:t>
            </w:r>
          </w:p>
        </w:tc>
        <w:tc>
          <w:tcPr>
            <w:tcW w:type="dxa" w:w="2880"/>
          </w:tcPr>
          <w:p>
            <w:pPr>
              <w:spacing w:after="20"/>
            </w:pPr>
            <w:r/>
            <w:r>
              <w:rPr>
                <w:sz w:val="20"/>
              </w:rPr>
              <w:t>No</w:t>
            </w:r>
          </w:p>
        </w:tc>
      </w:tr>
      <w:tr>
        <w:tc>
          <w:tcPr>
            <w:tcW w:type="dxa" w:w="2304"/>
          </w:tcPr>
          <w:p>
            <w:pPr>
              <w:spacing w:after="20"/>
            </w:pPr>
            <w:r/>
            <w:r>
              <w:rPr>
                <w:sz w:val="20"/>
              </w:rPr>
              <w:t>UNSW-NB15_3.csv</w:t>
            </w:r>
          </w:p>
        </w:tc>
        <w:tc>
          <w:tcPr>
            <w:tcW w:type="dxa" w:w="1296"/>
          </w:tcPr>
          <w:p>
            <w:pPr>
              <w:spacing w:after="20"/>
            </w:pPr>
            <w:r/>
            <w:r>
              <w:rPr>
                <w:sz w:val="20"/>
              </w:rPr>
              <w:t>700,001</w:t>
            </w:r>
          </w:p>
        </w:tc>
        <w:tc>
          <w:tcPr>
            <w:tcW w:type="dxa" w:w="1296"/>
          </w:tcPr>
          <w:p>
            <w:pPr>
              <w:spacing w:after="20"/>
            </w:pPr>
            <w:r/>
            <w:r>
              <w:rPr>
                <w:sz w:val="20"/>
              </w:rPr>
              <w:t>77.511</w:t>
            </w:r>
          </w:p>
        </w:tc>
        <w:tc>
          <w:tcPr>
            <w:tcW w:type="dxa" w:w="1584"/>
          </w:tcPr>
          <w:p>
            <w:pPr>
              <w:spacing w:after="20"/>
            </w:pPr>
            <w:r/>
            <w:r>
              <w:rPr>
                <w:sz w:val="20"/>
              </w:rPr>
              <w:t>224,843</w:t>
            </w:r>
          </w:p>
        </w:tc>
        <w:tc>
          <w:tcPr>
            <w:tcW w:type="dxa" w:w="2880"/>
          </w:tcPr>
          <w:p>
            <w:pPr>
              <w:spacing w:after="20"/>
            </w:pPr>
            <w:r/>
            <w:r>
              <w:rPr>
                <w:sz w:val="20"/>
              </w:rPr>
              <w:t>No</w:t>
            </w:r>
          </w:p>
        </w:tc>
      </w:tr>
      <w:tr>
        <w:tc>
          <w:tcPr>
            <w:tcW w:type="dxa" w:w="2304"/>
          </w:tcPr>
          <w:p>
            <w:pPr>
              <w:spacing w:after="20"/>
            </w:pPr>
            <w:r/>
            <w:r>
              <w:rPr>
                <w:sz w:val="20"/>
              </w:rPr>
              <w:t>UNSW-NB15_4.csv</w:t>
            </w:r>
          </w:p>
        </w:tc>
        <w:tc>
          <w:tcPr>
            <w:tcW w:type="dxa" w:w="1296"/>
          </w:tcPr>
          <w:p>
            <w:pPr>
              <w:spacing w:after="20"/>
            </w:pPr>
            <w:r/>
            <w:r>
              <w:rPr>
                <w:sz w:val="20"/>
              </w:rPr>
              <w:t>440,044</w:t>
            </w:r>
          </w:p>
        </w:tc>
        <w:tc>
          <w:tcPr>
            <w:tcW w:type="dxa" w:w="1296"/>
          </w:tcPr>
          <w:p>
            <w:pPr>
              <w:spacing w:after="20"/>
            </w:pPr>
            <w:r/>
            <w:r>
              <w:rPr>
                <w:sz w:val="20"/>
              </w:rPr>
              <w:t>79.799</w:t>
            </w:r>
          </w:p>
        </w:tc>
        <w:tc>
          <w:tcPr>
            <w:tcW w:type="dxa" w:w="1584"/>
          </w:tcPr>
          <w:p>
            <w:pPr>
              <w:spacing w:after="20"/>
            </w:pPr>
            <w:r/>
            <w:r>
              <w:rPr>
                <w:sz w:val="20"/>
              </w:rPr>
              <w:t>133,325</w:t>
            </w:r>
          </w:p>
        </w:tc>
        <w:tc>
          <w:tcPr>
            <w:tcW w:type="dxa" w:w="2880"/>
          </w:tcPr>
          <w:p>
            <w:pPr>
              <w:spacing w:after="20"/>
            </w:pPr>
            <w:r/>
            <w:r>
              <w:rPr>
                <w:sz w:val="20"/>
              </w:rPr>
              <w:t>No</w:t>
            </w:r>
          </w:p>
        </w:tc>
      </w:tr>
    </w:tbl>
    <w:p>
      <w:pPr>
        <w:spacing w:after="40"/>
      </w:pPr>
    </w:p>
    <w:p>
      <w:pPr>
        <w:pStyle w:val="ListBullet"/>
        <w:spacing w:after="40"/>
      </w:pPr>
      <w:r>
        <w:t>The paper's data is therefore very probably the first raw file. It says 'the full set of provided instances is used', so it probably kept the 59,213 duplicate rows (8.5% of the file); the paper does not say.</w:t>
      </w:r>
    </w:p>
    <w:p>
      <w:pPr>
        <w:pStyle w:val="ListBullet"/>
        <w:spacing w:after="40"/>
      </w:pPr>
      <w:r>
        <w:t>Our project data uses all four files (2,540,047 flows) and removes duplicates (2,042,340 flows). Rows keep their position in the raw files, so the flows of the first file can be selected: 637,891 flows remain after duplicate removal, of which 97.9% are Normal (the duplicates were mostly Normal, about 86% of the rows removed from this file, so the class mix of our subset differs from the paper's 96.83%). The duplicate removal was done over all four files together.</w:t>
      </w:r>
    </w:p>
    <w:p>
      <w:pPr>
        <w:pStyle w:val="ListBullet"/>
        <w:spacing w:after="40"/>
      </w:pPr>
      <w:r>
        <w:t>Sections 5 and 6 report two replications: section 5 on all our data, section 6 on the paper's file with duplicates removed. A run that keeps the duplicates was not done.</w:t>
      </w:r>
    </w:p>
    <w:p>
      <w:pPr>
        <w:pStyle w:val="Heading1"/>
      </w:pPr>
      <w:r>
        <w:t>4. How closely we matched it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728"/>
            <w:shd w:val="clear" w:color="auto" w:fill="DCE6F1"/>
          </w:tcPr>
          <w:p>
            <w:pPr>
              <w:spacing w:after="20"/>
            </w:pPr>
            <w:r/>
            <w:r>
              <w:rPr>
                <w:b/>
                <w:sz w:val="20"/>
              </w:rPr>
              <w:t>Item</w:t>
            </w:r>
          </w:p>
        </w:tc>
        <w:tc>
          <w:tcPr>
            <w:tcW w:type="dxa" w:w="2592"/>
            <w:shd w:val="clear" w:color="auto" w:fill="DCE6F1"/>
          </w:tcPr>
          <w:p>
            <w:pPr>
              <w:spacing w:after="20"/>
            </w:pPr>
            <w:r/>
            <w:r>
              <w:rPr>
                <w:b/>
                <w:sz w:val="20"/>
              </w:rPr>
              <w:t>Paper</w:t>
            </w:r>
          </w:p>
        </w:tc>
        <w:tc>
          <w:tcPr>
            <w:tcW w:type="dxa" w:w="3744"/>
            <w:shd w:val="clear" w:color="auto" w:fill="DCE6F1"/>
          </w:tcPr>
          <w:p>
            <w:pPr>
              <w:spacing w:after="20"/>
            </w:pPr>
            <w:r/>
            <w:r>
              <w:rPr>
                <w:b/>
                <w:sz w:val="20"/>
              </w:rPr>
              <w:t>Ours</w:t>
            </w:r>
          </w:p>
        </w:tc>
        <w:tc>
          <w:tcPr>
            <w:tcW w:type="dxa" w:w="1440"/>
            <w:shd w:val="clear" w:color="auto" w:fill="DCE6F1"/>
          </w:tcPr>
          <w:p>
            <w:pPr>
              <w:spacing w:after="20"/>
            </w:pPr>
            <w:r/>
            <w:r>
              <w:rPr>
                <w:b/>
                <w:sz w:val="20"/>
              </w:rPr>
              <w:t>Match</w:t>
            </w:r>
          </w:p>
        </w:tc>
      </w:tr>
      <w:tr>
        <w:tc>
          <w:tcPr>
            <w:tcW w:type="dxa" w:w="1728"/>
          </w:tcPr>
          <w:p>
            <w:pPr>
              <w:spacing w:after="20"/>
            </w:pPr>
            <w:r/>
            <w:r>
              <w:rPr>
                <w:sz w:val="20"/>
              </w:rPr>
              <w:t>Dataset, first replication</w:t>
            </w:r>
          </w:p>
        </w:tc>
        <w:tc>
          <w:tcPr>
            <w:tcW w:type="dxa" w:w="2592"/>
          </w:tcPr>
          <w:p>
            <w:pPr>
              <w:spacing w:after="20"/>
            </w:pPr>
            <w:r/>
            <w:r>
              <w:rPr>
                <w:sz w:val="20"/>
              </w:rPr>
              <w:t>UNSW-NB15_1.csv, 700,001 examples, 43 features, 96.83% Normal (Table I)</w:t>
            </w:r>
          </w:p>
        </w:tc>
        <w:tc>
          <w:tcPr>
            <w:tcW w:type="dxa" w:w="3744"/>
          </w:tcPr>
          <w:p>
            <w:pPr>
              <w:spacing w:after="20"/>
            </w:pPr>
            <w:r/>
            <w:r>
              <w:rPr>
                <w:sz w:val="20"/>
              </w:rPr>
              <w:t>All four files, duplicates removed (2,042,340 of 2,540,047 flows), 45 selected features, Normal 95.4% of the test set</w:t>
            </w:r>
          </w:p>
        </w:tc>
        <w:tc>
          <w:tcPr>
            <w:tcW w:type="dxa" w:w="1440"/>
          </w:tcPr>
          <w:p>
            <w:pPr>
              <w:spacing w:after="20"/>
            </w:pPr>
            <w:r/>
            <w:r>
              <w:rPr>
                <w:sz w:val="20"/>
              </w:rPr>
              <w:t>Different size and class mix</w:t>
            </w:r>
          </w:p>
        </w:tc>
      </w:tr>
      <w:tr>
        <w:tc>
          <w:tcPr>
            <w:tcW w:type="dxa" w:w="1728"/>
          </w:tcPr>
          <w:p>
            <w:pPr>
              <w:spacing w:after="20"/>
            </w:pPr>
            <w:r/>
            <w:r>
              <w:rPr>
                <w:sz w:val="20"/>
              </w:rPr>
              <w:t>Dataset, second replication</w:t>
            </w:r>
          </w:p>
        </w:tc>
        <w:tc>
          <w:tcPr>
            <w:tcW w:type="dxa" w:w="2592"/>
          </w:tcPr>
          <w:p>
            <w:pPr>
              <w:spacing w:after="20"/>
            </w:pPr>
            <w:r/>
            <w:r>
              <w:rPr>
                <w:sz w:val="20"/>
              </w:rPr>
              <w:t>As above</w:t>
            </w:r>
          </w:p>
        </w:tc>
        <w:tc>
          <w:tcPr>
            <w:tcW w:type="dxa" w:w="3744"/>
          </w:tcPr>
          <w:p>
            <w:pPr>
              <w:spacing w:after="20"/>
            </w:pPr>
            <w:r/>
            <w:r>
              <w:rPr>
                <w:sz w:val="20"/>
              </w:rPr>
              <w:t>Flows of UNSW-NB15_1.csv, duplicates removed (637,891), same 45 features, Normal 97.9%</w:t>
            </w:r>
          </w:p>
        </w:tc>
        <w:tc>
          <w:tcPr>
            <w:tcW w:type="dxa" w:w="1440"/>
          </w:tcPr>
          <w:p>
            <w:pPr>
              <w:spacing w:after="20"/>
            </w:pPr>
            <w:r/>
            <w:r>
              <w:rPr>
                <w:sz w:val="20"/>
              </w:rPr>
              <w:t>Same file; duplicates removed; class mix differs</w:t>
            </w:r>
          </w:p>
        </w:tc>
      </w:tr>
      <w:tr>
        <w:tc>
          <w:tcPr>
            <w:tcW w:type="dxa" w:w="1728"/>
          </w:tcPr>
          <w:p>
            <w:pPr>
              <w:spacing w:after="20"/>
            </w:pPr>
            <w:r/>
            <w:r>
              <w:rPr>
                <w:sz w:val="20"/>
              </w:rPr>
              <w:t>Classes</w:t>
            </w:r>
          </w:p>
        </w:tc>
        <w:tc>
          <w:tcPr>
            <w:tcW w:type="dxa" w:w="2592"/>
          </w:tcPr>
          <w:p>
            <w:pPr>
              <w:spacing w:after="20"/>
            </w:pPr>
            <w:r/>
            <w:r>
              <w:rPr>
                <w:sz w:val="20"/>
              </w:rPr>
              <w:t>10</w:t>
            </w:r>
          </w:p>
        </w:tc>
        <w:tc>
          <w:tcPr>
            <w:tcW w:type="dxa" w:w="3744"/>
          </w:tcPr>
          <w:p>
            <w:pPr>
              <w:spacing w:after="20"/>
            </w:pPr>
            <w:r/>
            <w:r>
              <w:rPr>
                <w:sz w:val="20"/>
              </w:rPr>
              <w:t>10</w:t>
            </w:r>
          </w:p>
        </w:tc>
        <w:tc>
          <w:tcPr>
            <w:tcW w:type="dxa" w:w="1440"/>
          </w:tcPr>
          <w:p>
            <w:pPr>
              <w:spacing w:after="20"/>
            </w:pPr>
            <w:r/>
            <w:r>
              <w:rPr>
                <w:sz w:val="20"/>
              </w:rPr>
              <w:t>Same</w:t>
            </w:r>
          </w:p>
        </w:tc>
      </w:tr>
      <w:tr>
        <w:tc>
          <w:tcPr>
            <w:tcW w:type="dxa" w:w="1728"/>
          </w:tcPr>
          <w:p>
            <w:pPr>
              <w:spacing w:after="20"/>
            </w:pPr>
            <w:r/>
            <w:r>
              <w:rPr>
                <w:sz w:val="20"/>
              </w:rPr>
              <w:t>Split</w:t>
            </w:r>
          </w:p>
        </w:tc>
        <w:tc>
          <w:tcPr>
            <w:tcW w:type="dxa" w:w="2592"/>
          </w:tcPr>
          <w:p>
            <w:pPr>
              <w:spacing w:after="20"/>
            </w:pPr>
            <w:r/>
            <w:r>
              <w:rPr>
                <w:sz w:val="20"/>
              </w:rPr>
              <w:t>5:2:3</w:t>
            </w:r>
          </w:p>
        </w:tc>
        <w:tc>
          <w:tcPr>
            <w:tcW w:type="dxa" w:w="3744"/>
          </w:tcPr>
          <w:p>
            <w:pPr>
              <w:spacing w:after="20"/>
            </w:pPr>
            <w:r/>
            <w:r>
              <w:rPr>
                <w:sz w:val="20"/>
              </w:rPr>
              <w:t>50% / 20% / 30%, stratified random</w:t>
            </w:r>
          </w:p>
        </w:tc>
        <w:tc>
          <w:tcPr>
            <w:tcW w:type="dxa" w:w="1440"/>
          </w:tcPr>
          <w:p>
            <w:pPr>
              <w:spacing w:after="20"/>
            </w:pPr>
            <w:r/>
            <w:r>
              <w:rPr>
                <w:sz w:val="20"/>
              </w:rPr>
              <w:t>Ratio same; paper's method unknown</w:t>
            </w:r>
          </w:p>
        </w:tc>
      </w:tr>
      <w:tr>
        <w:tc>
          <w:tcPr>
            <w:tcW w:type="dxa" w:w="1728"/>
          </w:tcPr>
          <w:p>
            <w:pPr>
              <w:spacing w:after="20"/>
            </w:pPr>
            <w:r/>
            <w:r>
              <w:rPr>
                <w:sz w:val="20"/>
              </w:rPr>
              <w:t>Graph</w:t>
            </w:r>
          </w:p>
        </w:tc>
        <w:tc>
          <w:tcPr>
            <w:tcW w:type="dxa" w:w="2592"/>
          </w:tcPr>
          <w:p>
            <w:pPr>
              <w:spacing w:after="20"/>
            </w:pPr>
            <w:r/>
            <w:r>
              <w:rPr>
                <w:sz w:val="20"/>
              </w:rPr>
              <w:t>(IP, port) nodes, flows as edges; GTCN-G on the line graph</w:t>
            </w:r>
          </w:p>
        </w:tc>
        <w:tc>
          <w:tcPr>
            <w:tcW w:type="dxa" w:w="3744"/>
          </w:tcPr>
          <w:p>
            <w:pPr>
              <w:spacing w:after="20"/>
            </w:pPr>
            <w:r/>
            <w:r>
              <w:rPr>
                <w:sz w:val="20"/>
              </w:rPr>
              <w:t>The same; a separate graph for each split</w:t>
            </w:r>
          </w:p>
        </w:tc>
        <w:tc>
          <w:tcPr>
            <w:tcW w:type="dxa" w:w="1440"/>
          </w:tcPr>
          <w:p>
            <w:pPr>
              <w:spacing w:after="20"/>
            </w:pPr>
            <w:r/>
            <w:r>
              <w:rPr>
                <w:sz w:val="20"/>
              </w:rPr>
              <w:t>Same</w:t>
            </w:r>
          </w:p>
        </w:tc>
      </w:tr>
      <w:tr>
        <w:tc>
          <w:tcPr>
            <w:tcW w:type="dxa" w:w="1728"/>
          </w:tcPr>
          <w:p>
            <w:pPr>
              <w:spacing w:after="20"/>
            </w:pPr>
            <w:r/>
            <w:r>
              <w:rPr>
                <w:sz w:val="20"/>
              </w:rPr>
              <w:t>Baseline network</w:t>
            </w:r>
          </w:p>
        </w:tc>
        <w:tc>
          <w:tcPr>
            <w:tcW w:type="dxa" w:w="2592"/>
          </w:tcPr>
          <w:p>
            <w:pPr>
              <w:spacing w:after="20"/>
            </w:pPr>
            <w:r/>
            <w:r>
              <w:rPr>
                <w:sz w:val="20"/>
              </w:rPr>
              <w:t>E-GraphSAGE-M: 2 layers, mean aggregator, ReLU, 8 neighbours per hop</w:t>
            </w:r>
          </w:p>
        </w:tc>
        <w:tc>
          <w:tcPr>
            <w:tcW w:type="dxa" w:w="3744"/>
          </w:tcPr>
          <w:p>
            <w:pPr>
              <w:spacing w:after="20"/>
            </w:pPr>
            <w:r/>
            <w:r>
              <w:rPr>
                <w:sz w:val="20"/>
              </w:rPr>
              <w:t>The same design, 128 hidden units, dropout 0.2</w:t>
            </w:r>
          </w:p>
        </w:tc>
        <w:tc>
          <w:tcPr>
            <w:tcW w:type="dxa" w:w="1440"/>
          </w:tcPr>
          <w:p>
            <w:pPr>
              <w:spacing w:after="20"/>
            </w:pPr>
            <w:r/>
            <w:r>
              <w:rPr>
                <w:sz w:val="20"/>
              </w:rPr>
              <w:t>Same as stated</w:t>
            </w:r>
          </w:p>
        </w:tc>
      </w:tr>
      <w:tr>
        <w:tc>
          <w:tcPr>
            <w:tcW w:type="dxa" w:w="1728"/>
          </w:tcPr>
          <w:p>
            <w:pPr>
              <w:spacing w:after="20"/>
            </w:pPr>
            <w:r/>
            <w:r>
              <w:rPr>
                <w:sz w:val="20"/>
              </w:rPr>
              <w:t>Epochs and batch</w:t>
            </w:r>
          </w:p>
        </w:tc>
        <w:tc>
          <w:tcPr>
            <w:tcW w:type="dxa" w:w="2592"/>
          </w:tcPr>
          <w:p>
            <w:pPr>
              <w:spacing w:after="20"/>
            </w:pPr>
            <w:r/>
            <w:r>
              <w:rPr>
                <w:sz w:val="20"/>
              </w:rPr>
              <w:t>10 epochs, batches of 500</w:t>
            </w:r>
          </w:p>
        </w:tc>
        <w:tc>
          <w:tcPr>
            <w:tcW w:type="dxa" w:w="3744"/>
          </w:tcPr>
          <w:p>
            <w:pPr>
              <w:spacing w:after="20"/>
            </w:pPr>
            <w:r/>
            <w:r>
              <w:rPr>
                <w:sz w:val="20"/>
              </w:rPr>
              <w:t>Batches of 500; reported after epoch 10 and at the best validation epoch (trained up to 100 epochs)</w:t>
            </w:r>
          </w:p>
        </w:tc>
        <w:tc>
          <w:tcPr>
            <w:tcW w:type="dxa" w:w="1440"/>
          </w:tcPr>
          <w:p>
            <w:pPr>
              <w:spacing w:after="20"/>
            </w:pPr>
            <w:r/>
            <w:r>
              <w:rPr>
                <w:sz w:val="20"/>
              </w:rPr>
              <w:t>Same at epoch 10, plus longer training</w:t>
            </w:r>
          </w:p>
        </w:tc>
      </w:tr>
      <w:tr>
        <w:tc>
          <w:tcPr>
            <w:tcW w:type="dxa" w:w="1728"/>
          </w:tcPr>
          <w:p>
            <w:pPr>
              <w:spacing w:after="20"/>
            </w:pPr>
            <w:r/>
            <w:r>
              <w:rPr>
                <w:sz w:val="20"/>
              </w:rPr>
              <w:t>Learning rate</w:t>
            </w:r>
          </w:p>
        </w:tc>
        <w:tc>
          <w:tcPr>
            <w:tcW w:type="dxa" w:w="2592"/>
          </w:tcPr>
          <w:p>
            <w:pPr>
              <w:spacing w:after="20"/>
            </w:pPr>
            <w:r/>
            <w:r>
              <w:rPr>
                <w:sz w:val="20"/>
              </w:rPr>
              <w:t>0.007, given in the shared settings (probably all models)</w:t>
            </w:r>
          </w:p>
        </w:tc>
        <w:tc>
          <w:tcPr>
            <w:tcW w:type="dxa" w:w="3744"/>
          </w:tcPr>
          <w:p>
            <w:pPr>
              <w:spacing w:after="20"/>
            </w:pPr>
            <w:r/>
            <w:r>
              <w:rPr>
                <w:sz w:val="20"/>
              </w:rPr>
              <w:t>0.001 (0.007 collapsed to predicting Normal for every flow in all 3 seeds)</w:t>
            </w:r>
          </w:p>
        </w:tc>
        <w:tc>
          <w:tcPr>
            <w:tcW w:type="dxa" w:w="1440"/>
          </w:tcPr>
          <w:p>
            <w:pPr>
              <w:spacing w:after="20"/>
            </w:pPr>
            <w:r/>
            <w:r>
              <w:rPr>
                <w:sz w:val="20"/>
              </w:rPr>
              <w:t>Different</w:t>
            </w:r>
          </w:p>
        </w:tc>
      </w:tr>
      <w:tr>
        <w:tc>
          <w:tcPr>
            <w:tcW w:type="dxa" w:w="1728"/>
          </w:tcPr>
          <w:p>
            <w:pPr>
              <w:spacing w:after="20"/>
            </w:pPr>
            <w:r/>
            <w:r>
              <w:rPr>
                <w:sz w:val="20"/>
              </w:rPr>
              <w:t>Loss and optimizer</w:t>
            </w:r>
          </w:p>
        </w:tc>
        <w:tc>
          <w:tcPr>
            <w:tcW w:type="dxa" w:w="2592"/>
          </w:tcPr>
          <w:p>
            <w:pPr>
              <w:spacing w:after="20"/>
            </w:pPr>
            <w:r/>
            <w:r>
              <w:rPr>
                <w:sz w:val="20"/>
              </w:rPr>
              <w:t>Not stated</w:t>
            </w:r>
          </w:p>
        </w:tc>
        <w:tc>
          <w:tcPr>
            <w:tcW w:type="dxa" w:w="3744"/>
          </w:tcPr>
          <w:p>
            <w:pPr>
              <w:spacing w:after="20"/>
            </w:pPr>
            <w:r/>
            <w:r>
              <w:rPr>
                <w:sz w:val="20"/>
              </w:rPr>
              <w:t>Cross-entropy, Adam</w:t>
            </w:r>
          </w:p>
        </w:tc>
        <w:tc>
          <w:tcPr>
            <w:tcW w:type="dxa" w:w="1440"/>
          </w:tcPr>
          <w:p>
            <w:pPr>
              <w:spacing w:after="20"/>
            </w:pPr>
            <w:r/>
            <w:r>
              <w:rPr>
                <w:sz w:val="20"/>
              </w:rPr>
              <w:t>Unknown</w:t>
            </w:r>
          </w:p>
        </w:tc>
      </w:tr>
      <w:tr>
        <w:tc>
          <w:tcPr>
            <w:tcW w:type="dxa" w:w="1728"/>
          </w:tcPr>
          <w:p>
            <w:pPr>
              <w:spacing w:after="20"/>
            </w:pPr>
            <w:r/>
            <w:r>
              <w:rPr>
                <w:sz w:val="20"/>
              </w:rPr>
              <w:t>Flow features in the final edge embedding</w:t>
            </w:r>
          </w:p>
        </w:tc>
        <w:tc>
          <w:tcPr>
            <w:tcW w:type="dxa" w:w="2592"/>
          </w:tcPr>
          <w:p>
            <w:pPr>
              <w:spacing w:after="20"/>
            </w:pPr>
            <w:r/>
            <w:r>
              <w:rPr>
                <w:sz w:val="20"/>
              </w:rPr>
              <w:t>Eq. 4 adds them in the paper's framework; unclear for its baselines</w:t>
            </w:r>
          </w:p>
        </w:tc>
        <w:tc>
          <w:tcPr>
            <w:tcW w:type="dxa" w:w="3744"/>
          </w:tcPr>
          <w:p>
            <w:pPr>
              <w:spacing w:after="20"/>
            </w:pPr>
            <w:r/>
            <w:r>
              <w:rPr>
                <w:sz w:val="20"/>
              </w:rPr>
              <w:t>Not in the E-GraphSAGE-M style network; yes in the GTCN-G style model (residual branch)</w:t>
            </w:r>
          </w:p>
        </w:tc>
        <w:tc>
          <w:tcPr>
            <w:tcW w:type="dxa" w:w="1440"/>
          </w:tcPr>
          <w:p>
            <w:pPr>
              <w:spacing w:after="20"/>
            </w:pPr>
            <w:r/>
            <w:r>
              <w:rPr>
                <w:sz w:val="20"/>
              </w:rPr>
              <w:t>Unclear</w:t>
            </w:r>
          </w:p>
        </w:tc>
      </w:tr>
      <w:tr>
        <w:tc>
          <w:tcPr>
            <w:tcW w:type="dxa" w:w="1728"/>
          </w:tcPr>
          <w:p>
            <w:pPr>
              <w:spacing w:after="20"/>
            </w:pPr>
            <w:r/>
            <w:r>
              <w:rPr>
                <w:sz w:val="20"/>
              </w:rPr>
              <w:t>Metric</w:t>
            </w:r>
          </w:p>
        </w:tc>
        <w:tc>
          <w:tcPr>
            <w:tcW w:type="dxa" w:w="2592"/>
          </w:tcPr>
          <w:p>
            <w:pPr>
              <w:spacing w:after="20"/>
            </w:pPr>
            <w:r/>
            <w:r>
              <w:rPr>
                <w:sz w:val="20"/>
              </w:rPr>
              <w:t>Weighted F1 (10 classes)</w:t>
            </w:r>
          </w:p>
        </w:tc>
        <w:tc>
          <w:tcPr>
            <w:tcW w:type="dxa" w:w="3744"/>
          </w:tcPr>
          <w:p>
            <w:pPr>
              <w:spacing w:after="20"/>
            </w:pPr>
            <w:r/>
            <w:r>
              <w:rPr>
                <w:sz w:val="20"/>
              </w:rPr>
              <w:t>Weighted F1 and macro F1</w:t>
            </w:r>
          </w:p>
        </w:tc>
        <w:tc>
          <w:tcPr>
            <w:tcW w:type="dxa" w:w="1440"/>
          </w:tcPr>
          <w:p>
            <w:pPr>
              <w:spacing w:after="20"/>
            </w:pPr>
            <w:r/>
            <w:r>
              <w:rPr>
                <w:sz w:val="20"/>
              </w:rPr>
              <w:t>Same, plus macro F1</w:t>
            </w:r>
          </w:p>
        </w:tc>
      </w:tr>
      <w:tr>
        <w:tc>
          <w:tcPr>
            <w:tcW w:type="dxa" w:w="1728"/>
          </w:tcPr>
          <w:p>
            <w:pPr>
              <w:spacing w:after="20"/>
            </w:pPr>
            <w:r/>
            <w:r>
              <w:rPr>
                <w:sz w:val="20"/>
              </w:rPr>
              <w:t>GTCN-G model</w:t>
            </w:r>
          </w:p>
        </w:tc>
        <w:tc>
          <w:tcPr>
            <w:tcW w:type="dxa" w:w="2592"/>
          </w:tcPr>
          <w:p>
            <w:pPr>
              <w:spacing w:after="20"/>
            </w:pPr>
            <w:r/>
            <w:r>
              <w:rPr>
                <w:sz w:val="20"/>
              </w:rPr>
              <w:t>Described, no code</w:t>
            </w:r>
          </w:p>
        </w:tc>
        <w:tc>
          <w:tcPr>
            <w:tcW w:type="dxa" w:w="3744"/>
          </w:tcPr>
          <w:p>
            <w:pPr>
              <w:spacing w:after="20"/>
            </w:pPr>
            <w:r/>
            <w:r>
              <w:rPr>
                <w:sz w:val="20"/>
              </w:rPr>
              <w:t>Our own implementation of the described parts, with simplifications (section 6.3)</w:t>
            </w:r>
          </w:p>
        </w:tc>
        <w:tc>
          <w:tcPr>
            <w:tcW w:type="dxa" w:w="1440"/>
          </w:tcPr>
          <w:p>
            <w:pPr>
              <w:spacing w:after="20"/>
            </w:pPr>
            <w:r/>
            <w:r>
              <w:rPr>
                <w:sz w:val="20"/>
              </w:rPr>
              <w:t>Not the authors' model</w:t>
            </w:r>
          </w:p>
        </w:tc>
      </w:tr>
    </w:tbl>
    <w:p>
      <w:pPr>
        <w:spacing w:after="40"/>
      </w:pPr>
    </w:p>
    <w:p>
      <w:r>
        <w:rPr>
          <w:i w:val="0"/>
        </w:rPr>
        <w:t>Choices made on the validation set only: the number of LightGBM leaves, the class scales, and the epoch at which each network stops. The test set was used once per model. Feature selection and scaling had been fitted on our earlier 80% training part of all four files, so some of the new test flows took part in that fitting; we expect the effect to be small but did not measure it.</w:t>
      </w:r>
    </w:p>
    <w:p>
      <w:pPr>
        <w:pStyle w:val="Heading1"/>
      </w:pPr>
      <w:r>
        <w:t>5. First replication: all our data</w:t>
      </w:r>
    </w:p>
    <w:p>
      <w:r>
        <w:rPr>
          <w:i w:val="0"/>
        </w:rPr>
        <w:t>Test scores, mean +/- standard deviation over 3 training seeds, on the 5:2:3 split of all 2,042,340 flows. The 95% interval is a bootstrap over the test set, from the seed-42 predictions.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4608"/>
            <w:shd w:val="clear" w:color="auto" w:fill="DCE6F1"/>
          </w:tcPr>
          <w:p>
            <w:pPr>
              <w:spacing w:after="20"/>
            </w:pPr>
            <w:r/>
            <w:r>
              <w:rPr>
                <w:b/>
                <w:sz w:val="20"/>
              </w:rPr>
              <w:t>Model</w:t>
            </w:r>
          </w:p>
        </w:tc>
        <w:tc>
          <w:tcPr>
            <w:tcW w:type="dxa" w:w="1728"/>
            <w:shd w:val="clear" w:color="auto" w:fill="DCE6F1"/>
          </w:tcPr>
          <w:p>
            <w:pPr>
              <w:spacing w:after="20"/>
            </w:pPr>
            <w:r/>
            <w:r>
              <w:rPr>
                <w:b/>
                <w:sz w:val="20"/>
              </w:rPr>
              <w:t>Weighted F1</w:t>
            </w:r>
          </w:p>
        </w:tc>
        <w:tc>
          <w:tcPr>
            <w:tcW w:type="dxa" w:w="1584"/>
            <w:shd w:val="clear" w:color="auto" w:fill="DCE6F1"/>
          </w:tcPr>
          <w:p>
            <w:pPr>
              <w:spacing w:after="20"/>
            </w:pPr>
            <w:r/>
            <w:r>
              <w:rPr>
                <w:b/>
                <w:sz w:val="20"/>
              </w:rPr>
              <w:t>Macro F1</w:t>
            </w:r>
          </w:p>
        </w:tc>
        <w:tc>
          <w:tcPr>
            <w:tcW w:type="dxa" w:w="1872"/>
            <w:shd w:val="clear" w:color="auto" w:fill="DCE6F1"/>
          </w:tcPr>
          <w:p>
            <w:pPr>
              <w:spacing w:after="20"/>
            </w:pPr>
            <w:r/>
            <w:r>
              <w:rPr>
                <w:b/>
                <w:sz w:val="20"/>
              </w:rPr>
              <w:t>95% interval, macro F1</w:t>
            </w:r>
          </w:p>
        </w:tc>
      </w:tr>
      <w:tr>
        <w:tc>
          <w:tcPr>
            <w:tcW w:type="dxa" w:w="4608"/>
          </w:tcPr>
          <w:p>
            <w:pPr>
              <w:spacing w:after="20"/>
            </w:pPr>
            <w:r/>
            <w:r>
              <w:rPr>
                <w:sz w:val="20"/>
              </w:rPr>
              <w:t>GTCN-G (paper)</w:t>
            </w:r>
          </w:p>
        </w:tc>
        <w:tc>
          <w:tcPr>
            <w:tcW w:type="dxa" w:w="1728"/>
          </w:tcPr>
          <w:p>
            <w:pPr>
              <w:spacing w:after="20"/>
            </w:pPr>
            <w:r/>
            <w:r>
              <w:rPr>
                <w:sz w:val="20"/>
              </w:rPr>
              <w:t>0.9512</w:t>
            </w:r>
          </w:p>
        </w:tc>
        <w:tc>
          <w:tcPr>
            <w:tcW w:type="dxa" w:w="1584"/>
          </w:tcPr>
          <w:p>
            <w:pPr>
              <w:spacing w:after="20"/>
            </w:pPr>
            <w:r/>
            <w:r>
              <w:rPr>
                <w:sz w:val="20"/>
              </w:rPr>
              <w:t>not reported</w:t>
            </w:r>
          </w:p>
        </w:tc>
        <w:tc>
          <w:tcPr>
            <w:tcW w:type="dxa" w:w="1872"/>
          </w:tcPr>
          <w:p>
            <w:pPr>
              <w:spacing w:after="20"/>
            </w:pPr>
            <w:r/>
            <w:r>
              <w:rPr>
                <w:sz w:val="20"/>
              </w:rPr>
            </w:r>
          </w:p>
        </w:tc>
      </w:tr>
      <w:tr>
        <w:tc>
          <w:tcPr>
            <w:tcW w:type="dxa" w:w="4608"/>
          </w:tcPr>
          <w:p>
            <w:pPr>
              <w:spacing w:after="20"/>
            </w:pPr>
            <w:r/>
            <w:r>
              <w:rPr>
                <w:sz w:val="20"/>
              </w:rPr>
              <w:t>GAT (paper)</w:t>
            </w:r>
          </w:p>
        </w:tc>
        <w:tc>
          <w:tcPr>
            <w:tcW w:type="dxa" w:w="1728"/>
          </w:tcPr>
          <w:p>
            <w:pPr>
              <w:spacing w:after="20"/>
            </w:pPr>
            <w:r/>
            <w:r>
              <w:rPr>
                <w:sz w:val="20"/>
              </w:rPr>
              <w:t>0.9178</w:t>
            </w:r>
          </w:p>
        </w:tc>
        <w:tc>
          <w:tcPr>
            <w:tcW w:type="dxa" w:w="1584"/>
          </w:tcPr>
          <w:p>
            <w:pPr>
              <w:spacing w:after="20"/>
            </w:pPr>
            <w:r/>
            <w:r>
              <w:rPr>
                <w:sz w:val="20"/>
              </w:rPr>
              <w:t>not reported</w:t>
            </w:r>
          </w:p>
        </w:tc>
        <w:tc>
          <w:tcPr>
            <w:tcW w:type="dxa" w:w="1872"/>
          </w:tcPr>
          <w:p>
            <w:pPr>
              <w:spacing w:after="20"/>
            </w:pPr>
            <w:r/>
            <w:r>
              <w:rPr>
                <w:sz w:val="20"/>
              </w:rPr>
            </w:r>
          </w:p>
        </w:tc>
      </w:tr>
      <w:tr>
        <w:tc>
          <w:tcPr>
            <w:tcW w:type="dxa" w:w="4608"/>
          </w:tcPr>
          <w:p>
            <w:pPr>
              <w:spacing w:after="20"/>
            </w:pPr>
            <w:r/>
            <w:r>
              <w:rPr>
                <w:sz w:val="20"/>
              </w:rPr>
              <w:t>E-GraphSAGE-M (paper)</w:t>
            </w:r>
          </w:p>
        </w:tc>
        <w:tc>
          <w:tcPr>
            <w:tcW w:type="dxa" w:w="1728"/>
          </w:tcPr>
          <w:p>
            <w:pPr>
              <w:spacing w:after="20"/>
            </w:pPr>
            <w:r/>
            <w:r>
              <w:rPr>
                <w:sz w:val="20"/>
              </w:rPr>
              <w:t>0.8934</w:t>
            </w:r>
          </w:p>
        </w:tc>
        <w:tc>
          <w:tcPr>
            <w:tcW w:type="dxa" w:w="1584"/>
          </w:tcPr>
          <w:p>
            <w:pPr>
              <w:spacing w:after="20"/>
            </w:pPr>
            <w:r/>
            <w:r>
              <w:rPr>
                <w:sz w:val="20"/>
              </w:rPr>
              <w:t>not reported</w:t>
            </w:r>
          </w:p>
        </w:tc>
        <w:tc>
          <w:tcPr>
            <w:tcW w:type="dxa" w:w="1872"/>
          </w:tcPr>
          <w:p>
            <w:pPr>
              <w:spacing w:after="20"/>
            </w:pPr>
            <w:r/>
            <w:r>
              <w:rPr>
                <w:sz w:val="20"/>
              </w:rPr>
            </w:r>
          </w:p>
        </w:tc>
      </w:tr>
      <w:tr>
        <w:tc>
          <w:tcPr>
            <w:tcW w:type="dxa" w:w="4608"/>
          </w:tcPr>
          <w:p>
            <w:pPr>
              <w:spacing w:after="20"/>
            </w:pPr>
            <w:r/>
            <w:r>
              <w:rPr>
                <w:sz w:val="20"/>
              </w:rPr>
              <w:t>E-GraphSAGE (paper)</w:t>
            </w:r>
          </w:p>
        </w:tc>
        <w:tc>
          <w:tcPr>
            <w:tcW w:type="dxa" w:w="1728"/>
          </w:tcPr>
          <w:p>
            <w:pPr>
              <w:spacing w:after="20"/>
            </w:pPr>
            <w:r/>
            <w:r>
              <w:rPr>
                <w:sz w:val="20"/>
              </w:rPr>
              <w:t>0.8756</w:t>
            </w:r>
          </w:p>
        </w:tc>
        <w:tc>
          <w:tcPr>
            <w:tcW w:type="dxa" w:w="1584"/>
          </w:tcPr>
          <w:p>
            <w:pPr>
              <w:spacing w:after="20"/>
            </w:pPr>
            <w:r/>
            <w:r>
              <w:rPr>
                <w:sz w:val="20"/>
              </w:rPr>
              <w:t>not reported</w:t>
            </w:r>
          </w:p>
        </w:tc>
        <w:tc>
          <w:tcPr>
            <w:tcW w:type="dxa" w:w="1872"/>
          </w:tcPr>
          <w:p>
            <w:pPr>
              <w:spacing w:after="20"/>
            </w:pPr>
            <w:r/>
            <w:r>
              <w:rPr>
                <w:sz w:val="20"/>
              </w:rPr>
            </w:r>
          </w:p>
        </w:tc>
      </w:tr>
      <w:tr>
        <w:tc>
          <w:tcPr>
            <w:tcW w:type="dxa" w:w="4608"/>
          </w:tcPr>
          <w:p>
            <w:pPr>
              <w:spacing w:after="20"/>
            </w:pPr>
            <w:r/>
            <w:r>
              <w:rPr>
                <w:sz w:val="20"/>
              </w:rPr>
              <w:t>Ours: E-GraphSAGE-M style network, after epoch 10</w:t>
            </w:r>
          </w:p>
        </w:tc>
        <w:tc>
          <w:tcPr>
            <w:tcW w:type="dxa" w:w="1728"/>
          </w:tcPr>
          <w:p>
            <w:pPr>
              <w:spacing w:after="20"/>
            </w:pPr>
            <w:r/>
            <w:r>
              <w:rPr>
                <w:sz w:val="20"/>
              </w:rPr>
              <w:t>0.9808 +/- 0.0009</w:t>
            </w:r>
          </w:p>
        </w:tc>
        <w:tc>
          <w:tcPr>
            <w:tcW w:type="dxa" w:w="1584"/>
          </w:tcPr>
          <w:p>
            <w:pPr>
              <w:spacing w:after="20"/>
            </w:pPr>
            <w:r/>
            <w:r>
              <w:rPr>
                <w:sz w:val="20"/>
              </w:rPr>
              <w:t>0.536 +/- 0.001</w:t>
            </w:r>
          </w:p>
        </w:tc>
        <w:tc>
          <w:tcPr>
            <w:tcW w:type="dxa" w:w="1872"/>
          </w:tcPr>
          <w:p>
            <w:pPr>
              <w:spacing w:after="20"/>
            </w:pPr>
            <w:r/>
            <w:r>
              <w:rPr>
                <w:sz w:val="20"/>
              </w:rPr>
            </w:r>
          </w:p>
        </w:tc>
      </w:tr>
      <w:tr>
        <w:tc>
          <w:tcPr>
            <w:tcW w:type="dxa" w:w="4608"/>
          </w:tcPr>
          <w:p>
            <w:pPr>
              <w:spacing w:after="20"/>
            </w:pPr>
            <w:r/>
            <w:r>
              <w:rPr>
                <w:sz w:val="20"/>
              </w:rPr>
              <w:t>Ours: the same network, best validation epoch</w:t>
            </w:r>
          </w:p>
        </w:tc>
        <w:tc>
          <w:tcPr>
            <w:tcW w:type="dxa" w:w="1728"/>
          </w:tcPr>
          <w:p>
            <w:pPr>
              <w:spacing w:after="20"/>
            </w:pPr>
            <w:r/>
            <w:r>
              <w:rPr>
                <w:sz w:val="20"/>
              </w:rPr>
              <w:t>0.9836 +/- 0.0002</w:t>
            </w:r>
          </w:p>
        </w:tc>
        <w:tc>
          <w:tcPr>
            <w:tcW w:type="dxa" w:w="1584"/>
          </w:tcPr>
          <w:p>
            <w:pPr>
              <w:spacing w:after="20"/>
            </w:pPr>
            <w:r/>
            <w:r>
              <w:rPr>
                <w:sz w:val="20"/>
              </w:rPr>
              <w:t>0.581 +/- 0.002</w:t>
            </w:r>
          </w:p>
        </w:tc>
        <w:tc>
          <w:tcPr>
            <w:tcW w:type="dxa" w:w="1872"/>
          </w:tcPr>
          <w:p>
            <w:pPr>
              <w:spacing w:after="20"/>
            </w:pPr>
            <w:r/>
            <w:r>
              <w:rPr>
                <w:sz w:val="20"/>
              </w:rPr>
            </w:r>
          </w:p>
        </w:tc>
      </w:tr>
      <w:tr>
        <w:tc>
          <w:tcPr>
            <w:tcW w:type="dxa" w:w="4608"/>
          </w:tcPr>
          <w:p>
            <w:pPr>
              <w:spacing w:after="20"/>
            </w:pPr>
            <w:r/>
            <w:r>
              <w:rPr>
                <w:sz w:val="20"/>
              </w:rPr>
              <w:t>Ours: LightGBM, no class weights</w:t>
            </w:r>
          </w:p>
        </w:tc>
        <w:tc>
          <w:tcPr>
            <w:tcW w:type="dxa" w:w="1728"/>
          </w:tcPr>
          <w:p>
            <w:pPr>
              <w:spacing w:after="20"/>
            </w:pPr>
            <w:r/>
            <w:r>
              <w:rPr>
                <w:sz w:val="20"/>
              </w:rPr>
              <w:t>0.9802 +/- 0.0002</w:t>
            </w:r>
          </w:p>
        </w:tc>
        <w:tc>
          <w:tcPr>
            <w:tcW w:type="dxa" w:w="1584"/>
          </w:tcPr>
          <w:p>
            <w:pPr>
              <w:spacing w:after="20"/>
            </w:pPr>
            <w:r/>
            <w:r>
              <w:rPr>
                <w:sz w:val="20"/>
              </w:rPr>
              <w:t>0.581 +/- 0.003</w:t>
            </w:r>
          </w:p>
        </w:tc>
        <w:tc>
          <w:tcPr>
            <w:tcW w:type="dxa" w:w="1872"/>
          </w:tcPr>
          <w:p>
            <w:pPr>
              <w:spacing w:after="20"/>
            </w:pPr>
            <w:r/>
            <w:r>
              <w:rPr>
                <w:sz w:val="20"/>
              </w:rPr>
              <w:t>0.572 - 0.590</w:t>
            </w:r>
          </w:p>
        </w:tc>
      </w:tr>
      <w:tr>
        <w:tc>
          <w:tcPr>
            <w:tcW w:type="dxa" w:w="4608"/>
          </w:tcPr>
          <w:p>
            <w:pPr>
              <w:spacing w:after="20"/>
            </w:pPr>
            <w:r/>
            <w:r>
              <w:rPr>
                <w:sz w:val="20"/>
              </w:rPr>
              <w:t>Ours: LightGBM, class weights</w:t>
            </w:r>
          </w:p>
        </w:tc>
        <w:tc>
          <w:tcPr>
            <w:tcW w:type="dxa" w:w="1728"/>
          </w:tcPr>
          <w:p>
            <w:pPr>
              <w:spacing w:after="20"/>
            </w:pPr>
            <w:r/>
            <w:r>
              <w:rPr>
                <w:sz w:val="20"/>
              </w:rPr>
              <w:t>0.9815 +/- 0.0003</w:t>
            </w:r>
          </w:p>
        </w:tc>
        <w:tc>
          <w:tcPr>
            <w:tcW w:type="dxa" w:w="1584"/>
          </w:tcPr>
          <w:p>
            <w:pPr>
              <w:spacing w:after="20"/>
            </w:pPr>
            <w:r/>
            <w:r>
              <w:rPr>
                <w:sz w:val="20"/>
              </w:rPr>
              <w:t>0.655 +/- 0.001</w:t>
            </w:r>
          </w:p>
        </w:tc>
        <w:tc>
          <w:tcPr>
            <w:tcW w:type="dxa" w:w="1872"/>
          </w:tcPr>
          <w:p>
            <w:pPr>
              <w:spacing w:after="20"/>
            </w:pPr>
            <w:r/>
            <w:r>
              <w:rPr>
                <w:sz w:val="20"/>
              </w:rPr>
              <w:t>0.645 - 0.667</w:t>
            </w:r>
          </w:p>
        </w:tc>
      </w:tr>
      <w:tr>
        <w:tc>
          <w:tcPr>
            <w:tcW w:type="dxa" w:w="4608"/>
          </w:tcPr>
          <w:p>
            <w:pPr>
              <w:spacing w:after="20"/>
            </w:pPr>
            <w:r/>
            <w:r>
              <w:rPr>
                <w:sz w:val="20"/>
              </w:rPr>
              <w:t>Ours: LightGBM, two-stage, class weights</w:t>
            </w:r>
          </w:p>
        </w:tc>
        <w:tc>
          <w:tcPr>
            <w:tcW w:type="dxa" w:w="1728"/>
          </w:tcPr>
          <w:p>
            <w:pPr>
              <w:spacing w:after="20"/>
            </w:pPr>
            <w:r/>
            <w:r>
              <w:rPr>
                <w:sz w:val="20"/>
              </w:rPr>
              <w:t>0.9820 +/- 0.0005</w:t>
            </w:r>
          </w:p>
        </w:tc>
        <w:tc>
          <w:tcPr>
            <w:tcW w:type="dxa" w:w="1584"/>
          </w:tcPr>
          <w:p>
            <w:pPr>
              <w:spacing w:after="20"/>
            </w:pPr>
            <w:r/>
            <w:r>
              <w:rPr>
                <w:sz w:val="20"/>
              </w:rPr>
              <w:t>0.655 +/- 0.001</w:t>
            </w:r>
          </w:p>
        </w:tc>
        <w:tc>
          <w:tcPr>
            <w:tcW w:type="dxa" w:w="1872"/>
          </w:tcPr>
          <w:p>
            <w:pPr>
              <w:spacing w:after="20"/>
            </w:pPr>
            <w:r/>
            <w:r>
              <w:rPr>
                <w:sz w:val="20"/>
              </w:rPr>
              <w:t>0.643 - 0.665</w:t>
            </w:r>
          </w:p>
        </w:tc>
      </w:tr>
      <w:tr>
        <w:tc>
          <w:tcPr>
            <w:tcW w:type="dxa" w:w="4608"/>
          </w:tcPr>
          <w:p>
            <w:pPr>
              <w:spacing w:after="20"/>
            </w:pPr>
            <w:r/>
            <w:r>
              <w:rPr>
                <w:b/>
                <w:sz w:val="20"/>
              </w:rPr>
              <w:t>Ours: LightGBM, class weights + tuned class scales</w:t>
            </w:r>
          </w:p>
        </w:tc>
        <w:tc>
          <w:tcPr>
            <w:tcW w:type="dxa" w:w="1728"/>
          </w:tcPr>
          <w:p>
            <w:pPr>
              <w:spacing w:after="20"/>
            </w:pPr>
            <w:r/>
            <w:r>
              <w:rPr>
                <w:b/>
                <w:sz w:val="20"/>
              </w:rPr>
              <w:t>0.9831 +/- 0.0005</w:t>
            </w:r>
          </w:p>
        </w:tc>
        <w:tc>
          <w:tcPr>
            <w:tcW w:type="dxa" w:w="1584"/>
          </w:tcPr>
          <w:p>
            <w:pPr>
              <w:spacing w:after="20"/>
            </w:pPr>
            <w:r/>
            <w:r>
              <w:rPr>
                <w:b/>
                <w:sz w:val="20"/>
              </w:rPr>
              <w:t>0.667 +/- 0.002</w:t>
            </w:r>
          </w:p>
        </w:tc>
        <w:tc>
          <w:tcPr>
            <w:tcW w:type="dxa" w:w="1872"/>
          </w:tcPr>
          <w:p>
            <w:pPr>
              <w:spacing w:after="20"/>
            </w:pPr>
            <w:r/>
            <w:r>
              <w:rPr>
                <w:b/>
                <w:sz w:val="20"/>
              </w:rPr>
              <w:t>0.656 - 0.678</w:t>
            </w:r>
          </w:p>
        </w:tc>
      </w:tr>
      <w:tr>
        <w:tc>
          <w:tcPr>
            <w:tcW w:type="dxa" w:w="4608"/>
          </w:tcPr>
          <w:p>
            <w:pPr>
              <w:spacing w:after="20"/>
            </w:pPr>
            <w:r/>
            <w:r>
              <w:rPr>
                <w:sz w:val="20"/>
              </w:rPr>
              <w:t>Ours: improved GNN, real graph</w:t>
            </w:r>
          </w:p>
        </w:tc>
        <w:tc>
          <w:tcPr>
            <w:tcW w:type="dxa" w:w="1728"/>
          </w:tcPr>
          <w:p>
            <w:pPr>
              <w:spacing w:after="20"/>
            </w:pPr>
            <w:r/>
            <w:r>
              <w:rPr>
                <w:sz w:val="20"/>
              </w:rPr>
              <w:t>0.9804 +/- 0.0000</w:t>
            </w:r>
          </w:p>
        </w:tc>
        <w:tc>
          <w:tcPr>
            <w:tcW w:type="dxa" w:w="1584"/>
          </w:tcPr>
          <w:p>
            <w:pPr>
              <w:spacing w:after="20"/>
            </w:pPr>
            <w:r/>
            <w:r>
              <w:rPr>
                <w:sz w:val="20"/>
              </w:rPr>
              <w:t>0.610 +/- 0.003</w:t>
            </w:r>
          </w:p>
        </w:tc>
        <w:tc>
          <w:tcPr>
            <w:tcW w:type="dxa" w:w="1872"/>
          </w:tcPr>
          <w:p>
            <w:pPr>
              <w:spacing w:after="20"/>
            </w:pPr>
            <w:r/>
            <w:r>
              <w:rPr>
                <w:sz w:val="20"/>
              </w:rPr>
              <w:t>0.602 - 0.623</w:t>
            </w:r>
          </w:p>
        </w:tc>
      </w:tr>
      <w:tr>
        <w:tc>
          <w:tcPr>
            <w:tcW w:type="dxa" w:w="4608"/>
          </w:tcPr>
          <w:p>
            <w:pPr>
              <w:spacing w:after="20"/>
            </w:pPr>
            <w:r/>
            <w:r>
              <w:rPr>
                <w:sz w:val="20"/>
              </w:rPr>
              <w:t>Ours: improved GNN, no graph</w:t>
            </w:r>
          </w:p>
        </w:tc>
        <w:tc>
          <w:tcPr>
            <w:tcW w:type="dxa" w:w="1728"/>
          </w:tcPr>
          <w:p>
            <w:pPr>
              <w:spacing w:after="20"/>
            </w:pPr>
            <w:r/>
            <w:r>
              <w:rPr>
                <w:sz w:val="20"/>
              </w:rPr>
              <w:t>0.9809 +/- 0.0001</w:t>
            </w:r>
          </w:p>
        </w:tc>
        <w:tc>
          <w:tcPr>
            <w:tcW w:type="dxa" w:w="1584"/>
          </w:tcPr>
          <w:p>
            <w:pPr>
              <w:spacing w:after="20"/>
            </w:pPr>
            <w:r/>
            <w:r>
              <w:rPr>
                <w:sz w:val="20"/>
              </w:rPr>
              <w:t>0.623 +/- 0.003</w:t>
            </w:r>
          </w:p>
        </w:tc>
        <w:tc>
          <w:tcPr>
            <w:tcW w:type="dxa" w:w="1872"/>
          </w:tcPr>
          <w:p>
            <w:pPr>
              <w:spacing w:after="20"/>
            </w:pPr>
            <w:r/>
            <w:r>
              <w:rPr>
                <w:sz w:val="20"/>
              </w:rPr>
              <w:t>0.612 - 0.632</w:t>
            </w:r>
          </w:p>
        </w:tc>
      </w:tr>
    </w:tbl>
    <w:p>
      <w:pPr>
        <w:spacing w:after="40"/>
      </w:pPr>
    </w:p>
    <w:p>
      <w:pPr>
        <w:jc w:val="center"/>
      </w:pPr>
      <w:r>
        <w:drawing>
          <wp:inline xmlns:a="http://schemas.openxmlformats.org/drawingml/2006/main" xmlns:pic="http://schemas.openxmlformats.org/drawingml/2006/picture">
            <wp:extent cx="5852160" cy="1916461"/>
            <wp:docPr id="1" name="Picture 1"/>
            <wp:cNvGraphicFramePr>
              <a:graphicFrameLocks noChangeAspect="1"/>
            </wp:cNvGraphicFramePr>
            <a:graphic>
              <a:graphicData uri="http://schemas.openxmlformats.org/drawingml/2006/picture">
                <pic:pic>
                  <pic:nvPicPr>
                    <pic:cNvPr id="0" name="fig_03.png"/>
                    <pic:cNvPicPr/>
                  </pic:nvPicPr>
                  <pic:blipFill>
                    <a:blip r:embed="rId9"/>
                    <a:stretch>
                      <a:fillRect/>
                    </a:stretch>
                  </pic:blipFill>
                  <pic:spPr>
                    <a:xfrm>
                      <a:off x="0" y="0"/>
                      <a:ext cx="5852160" cy="1916461"/>
                    </a:xfrm>
                    <a:prstGeom prst="rect"/>
                  </pic:spPr>
                </pic:pic>
              </a:graphicData>
            </a:graphic>
          </wp:inline>
        </w:drawing>
      </w:r>
    </w:p>
    <w:p>
      <w:pPr>
        <w:jc w:val="center"/>
      </w:pPr>
      <w:r>
        <w:rPr>
          <w:i/>
          <w:sz w:val="19"/>
        </w:rPr>
        <w:t>Figure 1. Test weighted F1 (left) and macro F1 (right) on all our data. Grey bars are numbers reported in the paper; orange is our E-GraphSAGE-M style network.</w:t>
      </w:r>
    </w:p>
    <w:p>
      <w:r>
        <w:rPr>
          <w:i w:val="0"/>
        </w:rPr>
        <w:t>'Improved GNN' is the same network with square-root class weights and with the flow's own features given to the classifier; 'no graph' isolates every flow. 'Tuned class scales' are per-class multipliers on the predicted probabilities, tuned on validation macro F1. On this data, class weights gave +0.075 macro F1 for LightGBM (95% interval +0.066 to +0.084) and tuned scales a further +0.012 (+0.006 to +0.017); a two-stage design gave no gain (-0.002, -0.009 to +0.006). Training curves of the network are in the report (section 7.2).</w:t>
      </w:r>
    </w:p>
    <w:p>
      <w:pPr>
        <w:pStyle w:val="Heading1"/>
      </w:pPr>
      <w:r>
        <w:t>6. Second replication: the paper's own data</w:t>
      </w:r>
    </w:p>
    <w:p>
      <w:pPr>
        <w:pStyle w:val="Heading2"/>
      </w:pPr>
      <w:r>
        <w:t>6.1 The paper's scores against the score of predicting Normal</w:t>
      </w:r>
    </w:p>
    <w:p>
      <w:r>
        <w:rPr>
          <w:i w:val="0"/>
        </w:rPr>
        <w:t>A model that predicts Normal for every flow has precision equal to the Normal share p, recall 1, F1 equal to 2p/(1+p) for Normal, and weighted F1 equal to p times that. We compare it with the scores the paper reports.</w:t>
      </w:r>
    </w:p>
    <w:tbl>
      <w:tblPr>
        <w:tblStyle w:val="TableGrid"/>
        <w:tblW w:type="auto" w:w="0"/>
        <w:jc w:val="center"/>
        <w:tblLook w:firstColumn="1" w:firstRow="1" w:lastColumn="0" w:lastRow="0" w:noHBand="0" w:noVBand="1" w:val="04A0"/>
      </w:tblPr>
      <w:tblGrid>
        <w:gridCol w:w="3120"/>
        <w:gridCol w:w="3120"/>
        <w:gridCol w:w="3120"/>
      </w:tblGrid>
      <w:tr>
        <w:tc>
          <w:tcPr>
            <w:tcW w:type="dxa" w:w="4032"/>
            <w:shd w:val="clear" w:color="auto" w:fill="DCE6F1"/>
          </w:tcPr>
          <w:p>
            <w:pPr>
              <w:spacing w:after="20"/>
            </w:pPr>
            <w:r/>
            <w:r>
              <w:rPr>
                <w:b/>
                <w:sz w:val="20"/>
              </w:rPr>
              <w:t>Class mix</w:t>
            </w:r>
          </w:p>
        </w:tc>
        <w:tc>
          <w:tcPr>
            <w:tcW w:type="dxa" w:w="1584"/>
            <w:shd w:val="clear" w:color="auto" w:fill="DCE6F1"/>
          </w:tcPr>
          <w:p>
            <w:pPr>
              <w:spacing w:after="20"/>
            </w:pPr>
            <w:r/>
            <w:r>
              <w:rPr>
                <w:b/>
                <w:sz w:val="20"/>
              </w:rPr>
              <w:t>Normal share</w:t>
            </w:r>
          </w:p>
        </w:tc>
        <w:tc>
          <w:tcPr>
            <w:tcW w:type="dxa" w:w="3744"/>
            <w:shd w:val="clear" w:color="auto" w:fill="DCE6F1"/>
          </w:tcPr>
          <w:p>
            <w:pPr>
              <w:spacing w:after="20"/>
            </w:pPr>
            <w:r/>
            <w:r>
              <w:rPr>
                <w:b/>
                <w:sz w:val="20"/>
              </w:rPr>
              <w:t>Weighted F1 of predicting Normal for every flow</w:t>
            </w:r>
          </w:p>
        </w:tc>
      </w:tr>
      <w:tr>
        <w:tc>
          <w:tcPr>
            <w:tcW w:type="dxa" w:w="4032"/>
          </w:tcPr>
          <w:p>
            <w:pPr>
              <w:spacing w:after="20"/>
            </w:pPr>
            <w:r/>
            <w:r>
              <w:rPr>
                <w:sz w:val="20"/>
              </w:rPr>
              <w:t>Paper's data (Table I)</w:t>
            </w:r>
          </w:p>
        </w:tc>
        <w:tc>
          <w:tcPr>
            <w:tcW w:type="dxa" w:w="1584"/>
          </w:tcPr>
          <w:p>
            <w:pPr>
              <w:spacing w:after="20"/>
            </w:pPr>
            <w:r/>
            <w:r>
              <w:rPr>
                <w:sz w:val="20"/>
              </w:rPr>
              <w:t>96.83%</w:t>
            </w:r>
          </w:p>
        </w:tc>
        <w:tc>
          <w:tcPr>
            <w:tcW w:type="dxa" w:w="3744"/>
          </w:tcPr>
          <w:p>
            <w:pPr>
              <w:spacing w:after="20"/>
            </w:pPr>
            <w:r/>
            <w:r>
              <w:rPr>
                <w:sz w:val="20"/>
              </w:rPr>
              <w:t>0.9526</w:t>
            </w:r>
          </w:p>
        </w:tc>
      </w:tr>
      <w:tr>
        <w:tc>
          <w:tcPr>
            <w:tcW w:type="dxa" w:w="4032"/>
          </w:tcPr>
          <w:p>
            <w:pPr>
              <w:spacing w:after="20"/>
            </w:pPr>
            <w:r/>
            <w:r>
              <w:rPr>
                <w:sz w:val="20"/>
              </w:rPr>
              <w:t>Our subset of the paper's file (duplicates removed)</w:t>
            </w:r>
          </w:p>
        </w:tc>
        <w:tc>
          <w:tcPr>
            <w:tcW w:type="dxa" w:w="1584"/>
          </w:tcPr>
          <w:p>
            <w:pPr>
              <w:spacing w:after="20"/>
            </w:pPr>
            <w:r/>
            <w:r>
              <w:rPr>
                <w:sz w:val="20"/>
              </w:rPr>
              <w:t>97.9%</w:t>
            </w:r>
          </w:p>
        </w:tc>
        <w:tc>
          <w:tcPr>
            <w:tcW w:type="dxa" w:w="3744"/>
          </w:tcPr>
          <w:p>
            <w:pPr>
              <w:spacing w:after="20"/>
            </w:pPr>
            <w:r/>
            <w:r>
              <w:rPr>
                <w:sz w:val="20"/>
              </w:rPr>
              <w:t>0.9686</w:t>
            </w:r>
          </w:p>
        </w:tc>
      </w:tr>
      <w:tr>
        <w:tc>
          <w:tcPr>
            <w:tcW w:type="dxa" w:w="4032"/>
          </w:tcPr>
          <w:p>
            <w:pPr>
              <w:spacing w:after="20"/>
            </w:pPr>
            <w:r/>
            <w:r>
              <w:rPr>
                <w:sz w:val="20"/>
              </w:rPr>
              <w:t>All our data (test set)</w:t>
            </w:r>
          </w:p>
        </w:tc>
        <w:tc>
          <w:tcPr>
            <w:tcW w:type="dxa" w:w="1584"/>
          </w:tcPr>
          <w:p>
            <w:pPr>
              <w:spacing w:after="20"/>
            </w:pPr>
            <w:r/>
            <w:r>
              <w:rPr>
                <w:sz w:val="20"/>
              </w:rPr>
              <w:t>95.4%</w:t>
            </w:r>
          </w:p>
        </w:tc>
        <w:tc>
          <w:tcPr>
            <w:tcW w:type="dxa" w:w="3744"/>
          </w:tcPr>
          <w:p>
            <w:pPr>
              <w:spacing w:after="20"/>
            </w:pPr>
            <w:r/>
            <w:r>
              <w:rPr>
                <w:sz w:val="20"/>
              </w:rPr>
              <w:t>0.9319 (our run that collapsed with learning rate 0.007 scored 0.9319)</w:t>
            </w:r>
          </w:p>
        </w:tc>
      </w:tr>
    </w:tbl>
    <w:p>
      <w:pPr>
        <w:spacing w:after="40"/>
      </w:pPr>
    </w:p>
    <w:p>
      <w:pPr>
        <w:pStyle w:val="ListBullet"/>
        <w:spacing w:after="40"/>
      </w:pPr>
      <w:r>
        <w:t>The paper reports 0.9512 for GTCN-G and 0.8756, 0.8934 and 0.9178 for its baselines. On the paper's class mix all four are below 0.9526. This holds if the paper's test set has about the paper's class mix, which a random or stratified split would give; the paper does not state its split.</w:t>
      </w:r>
    </w:p>
    <w:p>
      <w:pPr>
        <w:pStyle w:val="ListBullet"/>
        <w:spacing w:after="40"/>
      </w:pPr>
      <w:r>
        <w:t>So the reported weighted F1 values say little about how well the models separate attacks. We do not know why the paper's baselines are so low: undertrained models, a different split, preprocessing and a different loss are all possible.</w:t>
      </w:r>
    </w:p>
    <w:p>
      <w:pPr>
        <w:pStyle w:val="Heading2"/>
      </w:pPr>
      <w:r>
        <w:t>6.2 Our baseline on the paper's data</w:t>
      </w:r>
    </w:p>
    <w:p>
      <w:r>
        <w:rPr>
          <w:i w:val="0"/>
        </w:rPr>
        <w:t>The E-GraphSAGE-M style network of section 5, on the 637,891 flows of UNSW-NB15_1.csv (train 318,945, validation 127,578, test 191,368), 3 seeds.</w:t>
      </w:r>
    </w:p>
    <w:tbl>
      <w:tblPr>
        <w:tblStyle w:val="TableGrid"/>
        <w:tblW w:type="auto" w:w="0"/>
        <w:jc w:val="center"/>
        <w:tblLook w:firstColumn="1" w:firstRow="1" w:lastColumn="0" w:lastRow="0" w:noHBand="0" w:noVBand="1" w:val="04A0"/>
      </w:tblPr>
      <w:tblGrid>
        <w:gridCol w:w="3120"/>
        <w:gridCol w:w="3120"/>
        <w:gridCol w:w="3120"/>
      </w:tblGrid>
      <w:tr>
        <w:tc>
          <w:tcPr>
            <w:tcW w:type="dxa" w:w="3168"/>
            <w:shd w:val="clear" w:color="auto" w:fill="DCE6F1"/>
          </w:tcPr>
          <w:p>
            <w:pPr>
              <w:spacing w:after="20"/>
            </w:pPr>
            <w:r/>
            <w:r>
              <w:rPr>
                <w:b/>
                <w:sz w:val="20"/>
              </w:rPr>
              <w:t>Test score</w:t>
            </w:r>
          </w:p>
        </w:tc>
        <w:tc>
          <w:tcPr>
            <w:tcW w:type="dxa" w:w="2736"/>
            <w:shd w:val="clear" w:color="auto" w:fill="DCE6F1"/>
          </w:tcPr>
          <w:p>
            <w:pPr>
              <w:spacing w:after="20"/>
            </w:pPr>
            <w:r/>
            <w:r>
              <w:rPr>
                <w:b/>
                <w:sz w:val="20"/>
              </w:rPr>
              <w:t>After epoch 10</w:t>
            </w:r>
          </w:p>
        </w:tc>
        <w:tc>
          <w:tcPr>
            <w:tcW w:type="dxa" w:w="3456"/>
            <w:shd w:val="clear" w:color="auto" w:fill="DCE6F1"/>
          </w:tcPr>
          <w:p>
            <w:pPr>
              <w:spacing w:after="20"/>
            </w:pPr>
            <w:r/>
            <w:r>
              <w:rPr>
                <w:b/>
                <w:sz w:val="20"/>
              </w:rPr>
              <w:t>At best validation epoch (33, 76, 39)</w:t>
            </w:r>
          </w:p>
        </w:tc>
      </w:tr>
      <w:tr>
        <w:tc>
          <w:tcPr>
            <w:tcW w:type="dxa" w:w="3168"/>
          </w:tcPr>
          <w:p>
            <w:pPr>
              <w:spacing w:after="20"/>
            </w:pPr>
            <w:r/>
            <w:r>
              <w:rPr>
                <w:sz w:val="20"/>
              </w:rPr>
              <w:t>Weighted F1</w:t>
            </w:r>
          </w:p>
        </w:tc>
        <w:tc>
          <w:tcPr>
            <w:tcW w:type="dxa" w:w="2736"/>
          </w:tcPr>
          <w:p>
            <w:pPr>
              <w:spacing w:after="20"/>
            </w:pPr>
            <w:r/>
            <w:r>
              <w:rPr>
                <w:sz w:val="20"/>
              </w:rPr>
              <w:t>0.9921 +/- 0.0002</w:t>
            </w:r>
          </w:p>
        </w:tc>
        <w:tc>
          <w:tcPr>
            <w:tcW w:type="dxa" w:w="3456"/>
          </w:tcPr>
          <w:p>
            <w:pPr>
              <w:spacing w:after="20"/>
            </w:pPr>
            <w:r/>
            <w:r>
              <w:rPr>
                <w:sz w:val="20"/>
              </w:rPr>
              <w:t>0.9928 +/- 0.0002</w:t>
            </w:r>
          </w:p>
        </w:tc>
      </w:tr>
      <w:tr>
        <w:tc>
          <w:tcPr>
            <w:tcW w:type="dxa" w:w="3168"/>
          </w:tcPr>
          <w:p>
            <w:pPr>
              <w:spacing w:after="20"/>
            </w:pPr>
            <w:r/>
            <w:r>
              <w:rPr>
                <w:sz w:val="20"/>
              </w:rPr>
              <w:t>Macro F1</w:t>
            </w:r>
          </w:p>
        </w:tc>
        <w:tc>
          <w:tcPr>
            <w:tcW w:type="dxa" w:w="2736"/>
          </w:tcPr>
          <w:p>
            <w:pPr>
              <w:spacing w:after="20"/>
            </w:pPr>
            <w:r/>
            <w:r>
              <w:rPr>
                <w:sz w:val="20"/>
              </w:rPr>
              <w:t>0.535 +/- 0.018</w:t>
            </w:r>
          </w:p>
        </w:tc>
        <w:tc>
          <w:tcPr>
            <w:tcW w:type="dxa" w:w="3456"/>
          </w:tcPr>
          <w:p>
            <w:pPr>
              <w:spacing w:after="20"/>
            </w:pPr>
            <w:r/>
            <w:r>
              <w:rPr>
                <w:sz w:val="20"/>
              </w:rPr>
              <w:t>0.562 +/- 0.008</w:t>
            </w:r>
          </w:p>
        </w:tc>
      </w:tr>
      <w:tr>
        <w:tc>
          <w:tcPr>
            <w:tcW w:type="dxa" w:w="3168"/>
          </w:tcPr>
          <w:p>
            <w:pPr>
              <w:spacing w:after="20"/>
            </w:pPr>
            <w:r/>
            <w:r>
              <w:rPr>
                <w:sz w:val="20"/>
              </w:rPr>
              <w:t>Accuracy</w:t>
            </w:r>
          </w:p>
        </w:tc>
        <w:tc>
          <w:tcPr>
            <w:tcW w:type="dxa" w:w="2736"/>
          </w:tcPr>
          <w:p>
            <w:pPr>
              <w:spacing w:after="20"/>
            </w:pPr>
            <w:r/>
            <w:r>
              <w:rPr>
                <w:sz w:val="20"/>
              </w:rPr>
              <w:t>0.9921 +/- 0.0003</w:t>
            </w:r>
          </w:p>
        </w:tc>
        <w:tc>
          <w:tcPr>
            <w:tcW w:type="dxa" w:w="3456"/>
          </w:tcPr>
          <w:p>
            <w:pPr>
              <w:spacing w:after="20"/>
            </w:pPr>
            <w:r/>
            <w:r>
              <w:rPr>
                <w:sz w:val="20"/>
              </w:rPr>
              <w:t>0.9929 +/- 0.0001</w:t>
            </w:r>
          </w:p>
        </w:tc>
      </w:tr>
    </w:tbl>
    <w:p>
      <w:pPr>
        <w:spacing w:after="40"/>
      </w:pPr>
    </w:p>
    <w:p>
      <w:r>
        <w:rPr>
          <w:i w:val="0"/>
        </w:rPr>
        <w:t>Per-class F1 at the best epoch: Normal 0.999, Reconnaissance 0.887, Generic 0.857, Exploits 0.781, Shellcode 0.771, Fuzzers 0.725, Analysis 0.276, Backdoor 0.177, DoS 0.148, Worms 0.000 (24 flows in the whole subset). The weighted F1 is 0.993 where the paper reports 0.8934 for the same baseline. Using the data of the paper did not close this gap; it widened it.</w:t>
      </w:r>
    </w:p>
    <w:p>
      <w:pPr>
        <w:pStyle w:val="Heading2"/>
      </w:pPr>
      <w:r>
        <w:t>6.3 Our implementation of GTCN-G's ideas, with ablations</w:t>
      </w:r>
    </w:p>
    <w:p>
      <w:r>
        <w:rPr>
          <w:i w:val="0"/>
        </w:rPr>
        <w:t>The paper has no code, so we implemented the parts it describes (notebook unsw-nb15-gtcng-style-model). Flows are the nodes of the line graph: two flows are neighbours when they share an endpoint. For each batch of 500 flows we sample 8 neighbours from each of the two endpoints (the flow itself excluded) and order them by their position in the raw file, which is time order. Four branches follow: 6-head attention over the neighbours with dropout 0.5 on the attention coefficients; a residual branch with a linear transform of the flow's own features; a gated temporal convolution (two dilated layers) over the ordered neighbours; and a mean graph convolution. The branch outputs are concatenated and classified.</w:t>
      </w:r>
    </w:p>
    <w:p>
      <w:r>
        <w:rPr>
          <w:i w:val="0"/>
        </w:rPr>
        <w:t>Differences from the paper that we had to choose or could not avoid: one hop of neighbours (the paper's number of layers is not given); the temporal sequence is our own choice; the paper's adaptive adjacency matrix is replaced by a mean over neighbours, because a learned N x N matrix is not feasible for hundreds of thousands of flows; plain cross-entropy, Adam and a learning rate of 0.001 (loss and optimizer are not stated, and 0.007 collapsed our baseline). This is therefore a GTCN-G style model, not a verified copy of the authors' model.</w:t>
      </w:r>
    </w:p>
    <w:p>
      <w:r>
        <w:rPr>
          <w:i w:val="0"/>
        </w:rPr>
        <w:t>Each row removes or replaces one part. Test scores at the best validation epoch, mean +/- standard deviation over 3 seeds.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744"/>
            <w:shd w:val="clear" w:color="auto" w:fill="DCE6F1"/>
          </w:tcPr>
          <w:p>
            <w:pPr>
              <w:spacing w:after="20"/>
            </w:pPr>
            <w:r/>
            <w:r>
              <w:rPr>
                <w:b/>
                <w:sz w:val="20"/>
              </w:rPr>
              <w:t>Condition</w:t>
            </w:r>
          </w:p>
        </w:tc>
        <w:tc>
          <w:tcPr>
            <w:tcW w:type="dxa" w:w="1872"/>
            <w:shd w:val="clear" w:color="auto" w:fill="DCE6F1"/>
          </w:tcPr>
          <w:p>
            <w:pPr>
              <w:spacing w:after="20"/>
            </w:pPr>
            <w:r/>
            <w:r>
              <w:rPr>
                <w:b/>
                <w:sz w:val="20"/>
              </w:rPr>
              <w:t>Weighted F1</w:t>
            </w:r>
          </w:p>
        </w:tc>
        <w:tc>
          <w:tcPr>
            <w:tcW w:type="dxa" w:w="1728"/>
            <w:shd w:val="clear" w:color="auto" w:fill="DCE6F1"/>
          </w:tcPr>
          <w:p>
            <w:pPr>
              <w:spacing w:after="20"/>
            </w:pPr>
            <w:r/>
            <w:r>
              <w:rPr>
                <w:b/>
                <w:sz w:val="20"/>
              </w:rPr>
              <w:t>Macro F1</w:t>
            </w:r>
          </w:p>
        </w:tc>
        <w:tc>
          <w:tcPr>
            <w:tcW w:type="dxa" w:w="2016"/>
            <w:shd w:val="clear" w:color="auto" w:fill="DCE6F1"/>
          </w:tcPr>
          <w:p>
            <w:pPr>
              <w:spacing w:after="20"/>
            </w:pPr>
            <w:r/>
            <w:r>
              <w:rPr>
                <w:b/>
                <w:sz w:val="20"/>
              </w:rPr>
              <w:t>Weighted F1 after epoch 10</w:t>
            </w:r>
          </w:p>
        </w:tc>
      </w:tr>
      <w:tr>
        <w:tc>
          <w:tcPr>
            <w:tcW w:type="dxa" w:w="3744"/>
          </w:tcPr>
          <w:p>
            <w:pPr>
              <w:spacing w:after="20"/>
            </w:pPr>
            <w:r/>
            <w:r>
              <w:rPr>
                <w:sz w:val="20"/>
              </w:rPr>
              <w:t>Baseline network of 6.2 (for reference)</w:t>
            </w:r>
          </w:p>
        </w:tc>
        <w:tc>
          <w:tcPr>
            <w:tcW w:type="dxa" w:w="1872"/>
          </w:tcPr>
          <w:p>
            <w:pPr>
              <w:spacing w:after="20"/>
            </w:pPr>
            <w:r/>
            <w:r>
              <w:rPr>
                <w:sz w:val="20"/>
              </w:rPr>
              <w:t>0.9928 +/- 0.0002</w:t>
            </w:r>
          </w:p>
        </w:tc>
        <w:tc>
          <w:tcPr>
            <w:tcW w:type="dxa" w:w="1728"/>
          </w:tcPr>
          <w:p>
            <w:pPr>
              <w:spacing w:after="20"/>
            </w:pPr>
            <w:r/>
            <w:r>
              <w:rPr>
                <w:sz w:val="20"/>
              </w:rPr>
              <w:t>0.562 +/- 0.008</w:t>
            </w:r>
          </w:p>
        </w:tc>
        <w:tc>
          <w:tcPr>
            <w:tcW w:type="dxa" w:w="2016"/>
          </w:tcPr>
          <w:p>
            <w:pPr>
              <w:spacing w:after="20"/>
            </w:pPr>
            <w:r/>
            <w:r>
              <w:rPr>
                <w:sz w:val="20"/>
              </w:rPr>
              <w:t>0.9921</w:t>
            </w:r>
          </w:p>
        </w:tc>
      </w:tr>
      <w:tr>
        <w:tc>
          <w:tcPr>
            <w:tcW w:type="dxa" w:w="3744"/>
          </w:tcPr>
          <w:p>
            <w:pPr>
              <w:spacing w:after="20"/>
            </w:pPr>
            <w:r/>
            <w:r>
              <w:rPr>
                <w:b/>
                <w:sz w:val="20"/>
              </w:rPr>
              <w:t>GTCN-G style, full</w:t>
            </w:r>
          </w:p>
        </w:tc>
        <w:tc>
          <w:tcPr>
            <w:tcW w:type="dxa" w:w="1872"/>
          </w:tcPr>
          <w:p>
            <w:pPr>
              <w:spacing w:after="20"/>
            </w:pPr>
            <w:r/>
            <w:r>
              <w:rPr>
                <w:b/>
                <w:sz w:val="20"/>
              </w:rPr>
              <w:t>0.9925 +/- 0.0001</w:t>
            </w:r>
          </w:p>
        </w:tc>
        <w:tc>
          <w:tcPr>
            <w:tcW w:type="dxa" w:w="1728"/>
          </w:tcPr>
          <w:p>
            <w:pPr>
              <w:spacing w:after="20"/>
            </w:pPr>
            <w:r/>
            <w:r>
              <w:rPr>
                <w:b/>
                <w:sz w:val="20"/>
              </w:rPr>
              <w:t>0.550 +/- 0.004</w:t>
            </w:r>
          </w:p>
        </w:tc>
        <w:tc>
          <w:tcPr>
            <w:tcW w:type="dxa" w:w="2016"/>
          </w:tcPr>
          <w:p>
            <w:pPr>
              <w:spacing w:after="20"/>
            </w:pPr>
            <w:r/>
            <w:r>
              <w:rPr>
                <w:b/>
                <w:sz w:val="20"/>
              </w:rPr>
              <w:t>0.9918</w:t>
            </w:r>
          </w:p>
        </w:tc>
      </w:tr>
      <w:tr>
        <w:tc>
          <w:tcPr>
            <w:tcW w:type="dxa" w:w="3744"/>
          </w:tcPr>
          <w:p>
            <w:pPr>
              <w:spacing w:after="20"/>
            </w:pPr>
            <w:r/>
            <w:r>
              <w:rPr>
                <w:sz w:val="20"/>
              </w:rPr>
              <w:t>No residual branch</w:t>
            </w:r>
          </w:p>
        </w:tc>
        <w:tc>
          <w:tcPr>
            <w:tcW w:type="dxa" w:w="1872"/>
          </w:tcPr>
          <w:p>
            <w:pPr>
              <w:spacing w:after="20"/>
            </w:pPr>
            <w:r/>
            <w:r>
              <w:rPr>
                <w:sz w:val="20"/>
              </w:rPr>
              <w:t>0.9899 +/- 0.0004</w:t>
            </w:r>
          </w:p>
        </w:tc>
        <w:tc>
          <w:tcPr>
            <w:tcW w:type="dxa" w:w="1728"/>
          </w:tcPr>
          <w:p>
            <w:pPr>
              <w:spacing w:after="20"/>
            </w:pPr>
            <w:r/>
            <w:r>
              <w:rPr>
                <w:sz w:val="20"/>
              </w:rPr>
              <w:t>0.439 +/- 0.009</w:t>
            </w:r>
          </w:p>
        </w:tc>
        <w:tc>
          <w:tcPr>
            <w:tcW w:type="dxa" w:w="2016"/>
          </w:tcPr>
          <w:p>
            <w:pPr>
              <w:spacing w:after="20"/>
            </w:pPr>
            <w:r/>
            <w:r>
              <w:rPr>
                <w:sz w:val="20"/>
              </w:rPr>
              <w:t>0.9893</w:t>
            </w:r>
          </w:p>
        </w:tc>
      </w:tr>
      <w:tr>
        <w:tc>
          <w:tcPr>
            <w:tcW w:type="dxa" w:w="3744"/>
          </w:tcPr>
          <w:p>
            <w:pPr>
              <w:spacing w:after="20"/>
            </w:pPr>
            <w:r/>
            <w:r>
              <w:rPr>
                <w:sz w:val="20"/>
              </w:rPr>
              <w:t>Mean instead of attention</w:t>
            </w:r>
          </w:p>
        </w:tc>
        <w:tc>
          <w:tcPr>
            <w:tcW w:type="dxa" w:w="1872"/>
          </w:tcPr>
          <w:p>
            <w:pPr>
              <w:spacing w:after="20"/>
            </w:pPr>
            <w:r/>
            <w:r>
              <w:rPr>
                <w:sz w:val="20"/>
              </w:rPr>
              <w:t>0.9925 +/- 0.0002</w:t>
            </w:r>
          </w:p>
        </w:tc>
        <w:tc>
          <w:tcPr>
            <w:tcW w:type="dxa" w:w="1728"/>
          </w:tcPr>
          <w:p>
            <w:pPr>
              <w:spacing w:after="20"/>
            </w:pPr>
            <w:r/>
            <w:r>
              <w:rPr>
                <w:sz w:val="20"/>
              </w:rPr>
              <w:t>0.558 +/- 0.006</w:t>
            </w:r>
          </w:p>
        </w:tc>
        <w:tc>
          <w:tcPr>
            <w:tcW w:type="dxa" w:w="2016"/>
          </w:tcPr>
          <w:p>
            <w:pPr>
              <w:spacing w:after="20"/>
            </w:pPr>
            <w:r/>
            <w:r>
              <w:rPr>
                <w:sz w:val="20"/>
              </w:rPr>
              <w:t>0.9917</w:t>
            </w:r>
          </w:p>
        </w:tc>
      </w:tr>
      <w:tr>
        <w:tc>
          <w:tcPr>
            <w:tcW w:type="dxa" w:w="3744"/>
          </w:tcPr>
          <w:p>
            <w:pPr>
              <w:spacing w:after="20"/>
            </w:pPr>
            <w:r/>
            <w:r>
              <w:rPr>
                <w:sz w:val="20"/>
              </w:rPr>
              <w:t>No temporal branch</w:t>
            </w:r>
          </w:p>
        </w:tc>
        <w:tc>
          <w:tcPr>
            <w:tcW w:type="dxa" w:w="1872"/>
          </w:tcPr>
          <w:p>
            <w:pPr>
              <w:spacing w:after="20"/>
            </w:pPr>
            <w:r/>
            <w:r>
              <w:rPr>
                <w:sz w:val="20"/>
              </w:rPr>
              <w:t>0.9925 +/- 0.0001</w:t>
            </w:r>
          </w:p>
        </w:tc>
        <w:tc>
          <w:tcPr>
            <w:tcW w:type="dxa" w:w="1728"/>
          </w:tcPr>
          <w:p>
            <w:pPr>
              <w:spacing w:after="20"/>
            </w:pPr>
            <w:r/>
            <w:r>
              <w:rPr>
                <w:sz w:val="20"/>
              </w:rPr>
              <w:t>0.542 +/- 0.006</w:t>
            </w:r>
          </w:p>
        </w:tc>
        <w:tc>
          <w:tcPr>
            <w:tcW w:type="dxa" w:w="2016"/>
          </w:tcPr>
          <w:p>
            <w:pPr>
              <w:spacing w:after="20"/>
            </w:pPr>
            <w:r/>
            <w:r>
              <w:rPr>
                <w:sz w:val="20"/>
              </w:rPr>
              <w:t>0.9915</w:t>
            </w:r>
          </w:p>
        </w:tc>
      </w:tr>
      <w:tr>
        <w:tc>
          <w:tcPr>
            <w:tcW w:type="dxa" w:w="3744"/>
          </w:tcPr>
          <w:p>
            <w:pPr>
              <w:spacing w:after="20"/>
            </w:pPr>
            <w:r/>
            <w:r>
              <w:rPr>
                <w:sz w:val="20"/>
              </w:rPr>
              <w:t>No graph convolution branch</w:t>
            </w:r>
          </w:p>
        </w:tc>
        <w:tc>
          <w:tcPr>
            <w:tcW w:type="dxa" w:w="1872"/>
          </w:tcPr>
          <w:p>
            <w:pPr>
              <w:spacing w:after="20"/>
            </w:pPr>
            <w:r/>
            <w:r>
              <w:rPr>
                <w:sz w:val="20"/>
              </w:rPr>
              <w:t>0.9925 +/- 0.0001</w:t>
            </w:r>
          </w:p>
        </w:tc>
        <w:tc>
          <w:tcPr>
            <w:tcW w:type="dxa" w:w="1728"/>
          </w:tcPr>
          <w:p>
            <w:pPr>
              <w:spacing w:after="20"/>
            </w:pPr>
            <w:r/>
            <w:r>
              <w:rPr>
                <w:sz w:val="20"/>
              </w:rPr>
              <w:t>0.549 +/- 0.018</w:t>
            </w:r>
          </w:p>
        </w:tc>
        <w:tc>
          <w:tcPr>
            <w:tcW w:type="dxa" w:w="2016"/>
          </w:tcPr>
          <w:p>
            <w:pPr>
              <w:spacing w:after="20"/>
            </w:pPr>
            <w:r/>
            <w:r>
              <w:rPr>
                <w:sz w:val="20"/>
              </w:rPr>
              <w:t>0.9917</w:t>
            </w:r>
          </w:p>
        </w:tc>
      </w:tr>
      <w:tr>
        <w:tc>
          <w:tcPr>
            <w:tcW w:type="dxa" w:w="3744"/>
          </w:tcPr>
          <w:p>
            <w:pPr>
              <w:spacing w:after="20"/>
            </w:pPr>
            <w:r/>
            <w:r>
              <w:rPr>
                <w:sz w:val="20"/>
              </w:rPr>
              <w:t>Isolated flows (no neighbours)</w:t>
            </w:r>
          </w:p>
        </w:tc>
        <w:tc>
          <w:tcPr>
            <w:tcW w:type="dxa" w:w="1872"/>
          </w:tcPr>
          <w:p>
            <w:pPr>
              <w:spacing w:after="20"/>
            </w:pPr>
            <w:r/>
            <w:r>
              <w:rPr>
                <w:sz w:val="20"/>
              </w:rPr>
              <w:t>0.9916 +/- 0.0003</w:t>
            </w:r>
          </w:p>
        </w:tc>
        <w:tc>
          <w:tcPr>
            <w:tcW w:type="dxa" w:w="1728"/>
          </w:tcPr>
          <w:p>
            <w:pPr>
              <w:spacing w:after="20"/>
            </w:pPr>
            <w:r/>
            <w:r>
              <w:rPr>
                <w:sz w:val="20"/>
              </w:rPr>
              <w:t>0.535 +/- 0.008</w:t>
            </w:r>
          </w:p>
        </w:tc>
        <w:tc>
          <w:tcPr>
            <w:tcW w:type="dxa" w:w="2016"/>
          </w:tcPr>
          <w:p>
            <w:pPr>
              <w:spacing w:after="20"/>
            </w:pPr>
            <w:r/>
            <w:r>
              <w:rPr>
                <w:sz w:val="20"/>
              </w:rPr>
              <w:t>0.9906</w:t>
            </w:r>
          </w:p>
        </w:tc>
      </w:tr>
      <w:tr>
        <w:tc>
          <w:tcPr>
            <w:tcW w:type="dxa" w:w="3744"/>
          </w:tcPr>
          <w:p>
            <w:pPr>
              <w:spacing w:after="20"/>
            </w:pPr>
            <w:r/>
            <w:r>
              <w:rPr>
                <w:sz w:val="20"/>
              </w:rPr>
              <w:t>Shuffled neighbours (random flows)</w:t>
            </w:r>
          </w:p>
        </w:tc>
        <w:tc>
          <w:tcPr>
            <w:tcW w:type="dxa" w:w="1872"/>
          </w:tcPr>
          <w:p>
            <w:pPr>
              <w:spacing w:after="20"/>
            </w:pPr>
            <w:r/>
            <w:r>
              <w:rPr>
                <w:sz w:val="20"/>
              </w:rPr>
              <w:t>0.9917 +/- 0.0002</w:t>
            </w:r>
          </w:p>
        </w:tc>
        <w:tc>
          <w:tcPr>
            <w:tcW w:type="dxa" w:w="1728"/>
          </w:tcPr>
          <w:p>
            <w:pPr>
              <w:spacing w:after="20"/>
            </w:pPr>
            <w:r/>
            <w:r>
              <w:rPr>
                <w:sz w:val="20"/>
              </w:rPr>
              <w:t>0.542 +/- 0.004</w:t>
            </w:r>
          </w:p>
        </w:tc>
        <w:tc>
          <w:tcPr>
            <w:tcW w:type="dxa" w:w="2016"/>
          </w:tcPr>
          <w:p>
            <w:pPr>
              <w:spacing w:after="20"/>
            </w:pPr>
            <w:r/>
            <w:r>
              <w:rPr>
                <w:sz w:val="20"/>
              </w:rPr>
              <w:t>0.9908</w:t>
            </w:r>
          </w:p>
        </w:tc>
      </w:tr>
    </w:tbl>
    <w:p>
      <w:pPr>
        <w:spacing w:after="40"/>
      </w:pPr>
    </w:p>
    <w:p>
      <w:pPr>
        <w:jc w:val="center"/>
      </w:pPr>
      <w:r>
        <w:drawing>
          <wp:inline xmlns:a="http://schemas.openxmlformats.org/drawingml/2006/main" xmlns:pic="http://schemas.openxmlformats.org/drawingml/2006/picture">
            <wp:extent cx="5852160" cy="1860570"/>
            <wp:docPr id="2" name="Picture 2"/>
            <wp:cNvGraphicFramePr>
              <a:graphicFrameLocks noChangeAspect="1"/>
            </wp:cNvGraphicFramePr>
            <a:graphic>
              <a:graphicData uri="http://schemas.openxmlformats.org/drawingml/2006/picture">
                <pic:pic>
                  <pic:nvPicPr>
                    <pic:cNvPr id="0" name="fig_02.png"/>
                    <pic:cNvPicPr/>
                  </pic:nvPicPr>
                  <pic:blipFill>
                    <a:blip r:embed="rId10"/>
                    <a:stretch>
                      <a:fillRect/>
                    </a:stretch>
                  </pic:blipFill>
                  <pic:spPr>
                    <a:xfrm>
                      <a:off x="0" y="0"/>
                      <a:ext cx="5852160" cy="1860570"/>
                    </a:xfrm>
                    <a:prstGeom prst="rect"/>
                  </pic:spPr>
                </pic:pic>
              </a:graphicData>
            </a:graphic>
          </wp:inline>
        </w:drawing>
      </w:r>
    </w:p>
    <w:p>
      <w:pPr>
        <w:jc w:val="center"/>
      </w:pPr>
      <w:r>
        <w:rPr>
          <w:i/>
          <w:sz w:val="19"/>
        </w:rPr>
        <w:t>Figure 2. Test weighted F1 (left) and macro F1 (right) of the GTCN-G style model and its ablations (mean and standard deviation over 3 seeds).</w:t>
      </w:r>
    </w:p>
    <w:p>
      <w:r>
        <w:rPr>
          <w:i w:val="0"/>
        </w:rPr>
        <w:t>Paired differences (bootstrap over the same test rows, seed-42 predictions, 95% interval), weighted F1 / macro F1:</w:t>
      </w:r>
    </w:p>
    <w:tbl>
      <w:tblPr>
        <w:tblStyle w:val="TableGrid"/>
        <w:tblW w:type="auto" w:w="0"/>
        <w:jc w:val="center"/>
        <w:tblLook w:firstColumn="1" w:firstRow="1" w:lastColumn="0" w:lastRow="0" w:noHBand="0" w:noVBand="1" w:val="04A0"/>
      </w:tblPr>
      <w:tblGrid>
        <w:gridCol w:w="3120"/>
        <w:gridCol w:w="3120"/>
        <w:gridCol w:w="3120"/>
      </w:tblGrid>
      <w:tr>
        <w:tc>
          <w:tcPr>
            <w:tcW w:type="dxa" w:w="3744"/>
            <w:shd w:val="clear" w:color="auto" w:fill="DCE6F1"/>
          </w:tcPr>
          <w:p>
            <w:pPr>
              <w:spacing w:after="20"/>
            </w:pPr>
            <w:r/>
            <w:r>
              <w:rPr>
                <w:b/>
                <w:sz w:val="20"/>
              </w:rPr>
              <w:t>Comparison</w:t>
            </w:r>
          </w:p>
        </w:tc>
        <w:tc>
          <w:tcPr>
            <w:tcW w:type="dxa" w:w="2880"/>
            <w:shd w:val="clear" w:color="auto" w:fill="DCE6F1"/>
          </w:tcPr>
          <w:p>
            <w:pPr>
              <w:spacing w:after="20"/>
            </w:pPr>
            <w:r/>
            <w:r>
              <w:rPr>
                <w:b/>
                <w:sz w:val="20"/>
              </w:rPr>
              <w:t>Weighted F1</w:t>
            </w:r>
          </w:p>
        </w:tc>
        <w:tc>
          <w:tcPr>
            <w:tcW w:type="dxa" w:w="2736"/>
            <w:shd w:val="clear" w:color="auto" w:fill="DCE6F1"/>
          </w:tcPr>
          <w:p>
            <w:pPr>
              <w:spacing w:after="20"/>
            </w:pPr>
            <w:r/>
            <w:r>
              <w:rPr>
                <w:b/>
                <w:sz w:val="20"/>
              </w:rPr>
              <w:t>Macro F1</w:t>
            </w:r>
          </w:p>
        </w:tc>
      </w:tr>
      <w:tr>
        <w:tc>
          <w:tcPr>
            <w:tcW w:type="dxa" w:w="3744"/>
          </w:tcPr>
          <w:p>
            <w:pPr>
              <w:spacing w:after="20"/>
            </w:pPr>
            <w:r/>
            <w:r>
              <w:rPr>
                <w:sz w:val="20"/>
              </w:rPr>
              <w:t>Full minus baseline network</w:t>
            </w:r>
          </w:p>
        </w:tc>
        <w:tc>
          <w:tcPr>
            <w:tcW w:type="dxa" w:w="2880"/>
          </w:tcPr>
          <w:p>
            <w:pPr>
              <w:spacing w:after="20"/>
            </w:pPr>
            <w:r/>
            <w:r>
              <w:rPr>
                <w:sz w:val="20"/>
              </w:rPr>
              <w:t>-0.0002 (-0.0004 to 0.0000)</w:t>
            </w:r>
          </w:p>
        </w:tc>
        <w:tc>
          <w:tcPr>
            <w:tcW w:type="dxa" w:w="2736"/>
          </w:tcPr>
          <w:p>
            <w:pPr>
              <w:spacing w:after="20"/>
            </w:pPr>
            <w:r/>
            <w:r>
              <w:rPr>
                <w:sz w:val="20"/>
              </w:rPr>
              <w:t>-0.005 (-0.020 to +0.009)</w:t>
            </w:r>
          </w:p>
        </w:tc>
      </w:tr>
      <w:tr>
        <w:tc>
          <w:tcPr>
            <w:tcW w:type="dxa" w:w="3744"/>
          </w:tcPr>
          <w:p>
            <w:pPr>
              <w:spacing w:after="20"/>
            </w:pPr>
            <w:r/>
            <w:r>
              <w:rPr>
                <w:sz w:val="20"/>
              </w:rPr>
              <w:t>Full minus no residual branch</w:t>
            </w:r>
          </w:p>
        </w:tc>
        <w:tc>
          <w:tcPr>
            <w:tcW w:type="dxa" w:w="2880"/>
          </w:tcPr>
          <w:p>
            <w:pPr>
              <w:spacing w:after="20"/>
            </w:pPr>
            <w:r/>
            <w:r>
              <w:rPr>
                <w:sz w:val="20"/>
              </w:rPr>
              <w:t>+0.0025 (+0.0022 to +0.0029)</w:t>
            </w:r>
          </w:p>
        </w:tc>
        <w:tc>
          <w:tcPr>
            <w:tcW w:type="dxa" w:w="2736"/>
          </w:tcPr>
          <w:p>
            <w:pPr>
              <w:spacing w:after="20"/>
            </w:pPr>
            <w:r/>
            <w:r>
              <w:rPr>
                <w:sz w:val="20"/>
              </w:rPr>
              <w:t>+0.108 (+0.092 to +0.122)</w:t>
            </w:r>
          </w:p>
        </w:tc>
      </w:tr>
      <w:tr>
        <w:tc>
          <w:tcPr>
            <w:tcW w:type="dxa" w:w="3744"/>
          </w:tcPr>
          <w:p>
            <w:pPr>
              <w:spacing w:after="20"/>
            </w:pPr>
            <w:r/>
            <w:r>
              <w:rPr>
                <w:sz w:val="20"/>
              </w:rPr>
              <w:t>Full minus isolated flows</w:t>
            </w:r>
          </w:p>
        </w:tc>
        <w:tc>
          <w:tcPr>
            <w:tcW w:type="dxa" w:w="2880"/>
          </w:tcPr>
          <w:p>
            <w:pPr>
              <w:spacing w:after="20"/>
            </w:pPr>
            <w:r/>
            <w:r>
              <w:rPr>
                <w:sz w:val="20"/>
              </w:rPr>
              <w:t>+0.0012 (+0.0009 to +0.0015)</w:t>
            </w:r>
          </w:p>
        </w:tc>
        <w:tc>
          <w:tcPr>
            <w:tcW w:type="dxa" w:w="2736"/>
          </w:tcPr>
          <w:p>
            <w:pPr>
              <w:spacing w:after="20"/>
            </w:pPr>
            <w:r/>
            <w:r>
              <w:rPr>
                <w:sz w:val="20"/>
              </w:rPr>
              <w:t>+0.024 (+0.012 to +0.037)</w:t>
            </w:r>
          </w:p>
        </w:tc>
      </w:tr>
      <w:tr>
        <w:tc>
          <w:tcPr>
            <w:tcW w:type="dxa" w:w="3744"/>
          </w:tcPr>
          <w:p>
            <w:pPr>
              <w:spacing w:after="20"/>
            </w:pPr>
            <w:r/>
            <w:r>
              <w:rPr>
                <w:sz w:val="20"/>
              </w:rPr>
              <w:t>Full minus shuffled neighbours</w:t>
            </w:r>
          </w:p>
        </w:tc>
        <w:tc>
          <w:tcPr>
            <w:tcW w:type="dxa" w:w="2880"/>
          </w:tcPr>
          <w:p>
            <w:pPr>
              <w:spacing w:after="20"/>
            </w:pPr>
            <w:r/>
            <w:r>
              <w:rPr>
                <w:sz w:val="20"/>
              </w:rPr>
              <w:t>+0.0009 (+0.0006 to +0.0012)</w:t>
            </w:r>
          </w:p>
        </w:tc>
        <w:tc>
          <w:tcPr>
            <w:tcW w:type="dxa" w:w="2736"/>
          </w:tcPr>
          <w:p>
            <w:pPr>
              <w:spacing w:after="20"/>
            </w:pPr>
            <w:r/>
            <w:r>
              <w:rPr>
                <w:sz w:val="20"/>
              </w:rPr>
              <w:t>+0.009 (-0.007 to +0.025)</w:t>
            </w:r>
          </w:p>
        </w:tc>
      </w:tr>
      <w:tr>
        <w:tc>
          <w:tcPr>
            <w:tcW w:type="dxa" w:w="3744"/>
          </w:tcPr>
          <w:p>
            <w:pPr>
              <w:spacing w:after="20"/>
            </w:pPr>
            <w:r/>
            <w:r>
              <w:rPr>
                <w:sz w:val="20"/>
              </w:rPr>
              <w:t>Shuffled neighbours minus isolated flows</w:t>
            </w:r>
          </w:p>
        </w:tc>
        <w:tc>
          <w:tcPr>
            <w:tcW w:type="dxa" w:w="2880"/>
          </w:tcPr>
          <w:p>
            <w:pPr>
              <w:spacing w:after="20"/>
            </w:pPr>
            <w:r/>
            <w:r>
              <w:rPr>
                <w:sz w:val="20"/>
              </w:rPr>
              <w:t>+0.0003 (+0.0001 to +0.0006)</w:t>
            </w:r>
          </w:p>
        </w:tc>
        <w:tc>
          <w:tcPr>
            <w:tcW w:type="dxa" w:w="2736"/>
          </w:tcPr>
          <w:p>
            <w:pPr>
              <w:spacing w:after="20"/>
            </w:pPr>
            <w:r/>
            <w:r>
              <w:rPr>
                <w:sz w:val="20"/>
              </w:rPr>
              <w:t>+0.016 (+0.002 to +0.028)</w:t>
            </w:r>
          </w:p>
        </w:tc>
      </w:tr>
      <w:tr>
        <w:tc>
          <w:tcPr>
            <w:tcW w:type="dxa" w:w="3744"/>
          </w:tcPr>
          <w:p>
            <w:pPr>
              <w:spacing w:after="20"/>
            </w:pPr>
            <w:r/>
            <w:r>
              <w:rPr>
                <w:sz w:val="20"/>
              </w:rPr>
              <w:t>Full minus mean instead of attention</w:t>
            </w:r>
          </w:p>
        </w:tc>
        <w:tc>
          <w:tcPr>
            <w:tcW w:type="dxa" w:w="2880"/>
          </w:tcPr>
          <w:p>
            <w:pPr>
              <w:spacing w:after="20"/>
            </w:pPr>
            <w:r/>
            <w:r>
              <w:rPr>
                <w:sz w:val="20"/>
              </w:rPr>
              <w:t>0.0000 (-0.0002 to +0.0002)</w:t>
            </w:r>
          </w:p>
        </w:tc>
        <w:tc>
          <w:tcPr>
            <w:tcW w:type="dxa" w:w="2736"/>
          </w:tcPr>
          <w:p>
            <w:pPr>
              <w:spacing w:after="20"/>
            </w:pPr>
            <w:r/>
            <w:r>
              <w:rPr>
                <w:sz w:val="20"/>
              </w:rPr>
              <w:t>-0.013 (-0.026 to +0.001)</w:t>
            </w:r>
          </w:p>
        </w:tc>
      </w:tr>
      <w:tr>
        <w:tc>
          <w:tcPr>
            <w:tcW w:type="dxa" w:w="3744"/>
          </w:tcPr>
          <w:p>
            <w:pPr>
              <w:spacing w:after="20"/>
            </w:pPr>
            <w:r/>
            <w:r>
              <w:rPr>
                <w:sz w:val="20"/>
              </w:rPr>
              <w:t>Full minus no temporal branch</w:t>
            </w:r>
          </w:p>
        </w:tc>
        <w:tc>
          <w:tcPr>
            <w:tcW w:type="dxa" w:w="2880"/>
          </w:tcPr>
          <w:p>
            <w:pPr>
              <w:spacing w:after="20"/>
            </w:pPr>
            <w:r/>
            <w:r>
              <w:rPr>
                <w:sz w:val="20"/>
              </w:rPr>
              <w:t>+0.0001 (-0.0001 to +0.0003)</w:t>
            </w:r>
          </w:p>
        </w:tc>
        <w:tc>
          <w:tcPr>
            <w:tcW w:type="dxa" w:w="2736"/>
          </w:tcPr>
          <w:p>
            <w:pPr>
              <w:spacing w:after="20"/>
            </w:pPr>
            <w:r/>
            <w:r>
              <w:rPr>
                <w:sz w:val="20"/>
              </w:rPr>
              <w:t>+0.010 (-0.002 to +0.023)</w:t>
            </w:r>
          </w:p>
        </w:tc>
      </w:tr>
      <w:tr>
        <w:tc>
          <w:tcPr>
            <w:tcW w:type="dxa" w:w="3744"/>
          </w:tcPr>
          <w:p>
            <w:pPr>
              <w:spacing w:after="20"/>
            </w:pPr>
            <w:r/>
            <w:r>
              <w:rPr>
                <w:sz w:val="20"/>
              </w:rPr>
              <w:t>Full minus no graph convolution branch</w:t>
            </w:r>
          </w:p>
        </w:tc>
        <w:tc>
          <w:tcPr>
            <w:tcW w:type="dxa" w:w="2880"/>
          </w:tcPr>
          <w:p>
            <w:pPr>
              <w:spacing w:after="20"/>
            </w:pPr>
            <w:r/>
            <w:r>
              <w:rPr>
                <w:sz w:val="20"/>
              </w:rPr>
              <w:t>0.0000 (-0.0002 to +0.0003)</w:t>
            </w:r>
          </w:p>
        </w:tc>
        <w:tc>
          <w:tcPr>
            <w:tcW w:type="dxa" w:w="2736"/>
          </w:tcPr>
          <w:p>
            <w:pPr>
              <w:spacing w:after="20"/>
            </w:pPr>
            <w:r/>
            <w:r>
              <w:rPr>
                <w:sz w:val="20"/>
              </w:rPr>
              <w:t>-0.004 (-0.018 to +0.012)</w:t>
            </w:r>
          </w:p>
        </w:tc>
      </w:tr>
    </w:tbl>
    <w:p>
      <w:pPr>
        <w:spacing w:after="40"/>
      </w:pPr>
    </w:p>
    <w:p>
      <w:pPr>
        <w:pStyle w:val="ListBullet"/>
        <w:spacing w:after="40"/>
      </w:pPr>
      <w:r>
        <w:rPr>
          <w:b/>
        </w:rPr>
        <w:t xml:space="preserve">No gain over the simple baseline. </w:t>
      </w:r>
      <w:r>
        <w:t>The full model and the baseline network of 6.2 are indistinguishable (weighted F1 -0.0002, interval -0.0004 to 0.0000).</w:t>
      </w:r>
    </w:p>
    <w:p>
      <w:pPr>
        <w:pStyle w:val="ListBullet"/>
        <w:spacing w:after="40"/>
      </w:pPr>
      <w:r>
        <w:rPr>
          <w:b/>
        </w:rPr>
        <w:t xml:space="preserve">The residual branch is the part that matters. </w:t>
      </w:r>
      <w:r>
        <w:t>Removing it costs 0.11 macro F1 and sets Shellcode to 0. This branch carries the flow's own features, so the result says that those features are what the model needs; with the residual removed, a flow whose endpoints carry no other flow has nothing to classify from. It supports the paper's design choice but is not specific evidence about class imbalance.</w:t>
      </w:r>
    </w:p>
    <w:p>
      <w:pPr>
        <w:pStyle w:val="ListBullet"/>
        <w:spacing w:after="40"/>
      </w:pPr>
      <w:r>
        <w:rPr>
          <w:b/>
        </w:rPr>
        <w:t xml:space="preserve">The graph adds a small amount. </w:t>
      </w:r>
      <w:r>
        <w:t>Real neighbours beat isolated flows by 0.0012 weighted F1 and beat shuffled neighbours by 0.0009. The macro F1 differences are within the noise of the seeds for the comparison with shuffled neighbours.</w:t>
      </w:r>
    </w:p>
    <w:p>
      <w:pPr>
        <w:pStyle w:val="ListBullet"/>
        <w:spacing w:after="40"/>
      </w:pPr>
      <w:r>
        <w:rPr>
          <w:b/>
        </w:rPr>
        <w:t xml:space="preserve">Attention, the temporal branch and the graph convolution made no measurable difference </w:t>
      </w:r>
      <w:r>
        <w:t>in weighted F1, and their macro F1 differences are within the noise of the seeds. The paper's explanation that attention explains the gain of GAT over E-GraphSAGE-M is not supported by our implementation, although our attention is not the authors' exact module.</w:t>
      </w:r>
    </w:p>
    <w:p>
      <w:pPr>
        <w:pStyle w:val="Heading2"/>
      </w:pPr>
      <w:r>
        <w:t>6.4 Can loss changes solve the minority-class problem?</w:t>
      </w:r>
    </w:p>
    <w:p>
      <w:r>
        <w:rPr>
          <w:i w:val="0"/>
        </w:rPr>
        <w:t>The paper presents its residual mechanism as the answer to class imbalance. On our GTCN-G style model we changed only the loss (notebook unsw-nb15-gtcng-minority-classes): square-root class weights, balanced class weights, and a logit-adjusted loss (cross-entropy on logits plus the log of the class frequency, as proposed by Menon et al.), each decoded by the largest probability or after multiplying the probabilities by per-class scales tuned on the validation set for macro F1. The stopping epoch was chosen on validation macro F1. Test scores, mean +/- standard deviation over 3 seeds.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DCE6F1"/>
          </w:tcPr>
          <w:p>
            <w:pPr>
              <w:spacing w:after="20"/>
            </w:pPr>
            <w:r/>
            <w:r>
              <w:rPr>
                <w:b/>
                <w:sz w:val="20"/>
              </w:rPr>
              <w:t>Loss</w:t>
            </w:r>
          </w:p>
        </w:tc>
        <w:tc>
          <w:tcPr>
            <w:tcW w:type="dxa" w:w="1872"/>
            <w:shd w:val="clear" w:color="auto" w:fill="DCE6F1"/>
          </w:tcPr>
          <w:p>
            <w:pPr>
              <w:spacing w:after="20"/>
            </w:pPr>
            <w:r/>
            <w:r>
              <w:rPr>
                <w:b/>
                <w:sz w:val="20"/>
              </w:rPr>
              <w:t>Decoding</w:t>
            </w:r>
          </w:p>
        </w:tc>
        <w:tc>
          <w:tcPr>
            <w:tcW w:type="dxa" w:w="1584"/>
            <w:shd w:val="clear" w:color="auto" w:fill="DCE6F1"/>
          </w:tcPr>
          <w:p>
            <w:pPr>
              <w:spacing w:after="20"/>
            </w:pPr>
            <w:r/>
            <w:r>
              <w:rPr>
                <w:b/>
                <w:sz w:val="20"/>
              </w:rPr>
              <w:t>Weighted F1</w:t>
            </w:r>
          </w:p>
        </w:tc>
        <w:tc>
          <w:tcPr>
            <w:tcW w:type="dxa" w:w="1296"/>
            <w:shd w:val="clear" w:color="auto" w:fill="DCE6F1"/>
          </w:tcPr>
          <w:p>
            <w:pPr>
              <w:spacing w:after="20"/>
            </w:pPr>
            <w:r/>
            <w:r>
              <w:rPr>
                <w:b/>
                <w:sz w:val="20"/>
              </w:rPr>
              <w:t>Macro F1</w:t>
            </w:r>
          </w:p>
        </w:tc>
        <w:tc>
          <w:tcPr>
            <w:tcW w:type="dxa" w:w="864"/>
            <w:shd w:val="clear" w:color="auto" w:fill="DCE6F1"/>
          </w:tcPr>
          <w:p>
            <w:pPr>
              <w:spacing w:after="20"/>
            </w:pPr>
            <w:r/>
            <w:r>
              <w:rPr>
                <w:b/>
                <w:sz w:val="20"/>
              </w:rPr>
              <w:t>Analysis</w:t>
            </w:r>
          </w:p>
        </w:tc>
        <w:tc>
          <w:tcPr>
            <w:tcW w:type="dxa" w:w="936"/>
            <w:shd w:val="clear" w:color="auto" w:fill="DCE6F1"/>
          </w:tcPr>
          <w:p>
            <w:pPr>
              <w:spacing w:after="20"/>
            </w:pPr>
            <w:r/>
            <w:r>
              <w:rPr>
                <w:b/>
                <w:sz w:val="20"/>
              </w:rPr>
              <w:t>Backdoor</w:t>
            </w:r>
          </w:p>
        </w:tc>
        <w:tc>
          <w:tcPr>
            <w:tcW w:type="dxa" w:w="720"/>
            <w:shd w:val="clear" w:color="auto" w:fill="DCE6F1"/>
          </w:tcPr>
          <w:p>
            <w:pPr>
              <w:spacing w:after="20"/>
            </w:pPr>
            <w:r/>
            <w:r>
              <w:rPr>
                <w:b/>
                <w:sz w:val="20"/>
              </w:rPr>
              <w:t>DoS</w:t>
            </w:r>
          </w:p>
        </w:tc>
      </w:tr>
      <w:tr>
        <w:tc>
          <w:tcPr>
            <w:tcW w:type="dxa" w:w="2016"/>
          </w:tcPr>
          <w:p>
            <w:pPr>
              <w:spacing w:after="20"/>
            </w:pPr>
            <w:r/>
            <w:r>
              <w:rPr>
                <w:sz w:val="20"/>
              </w:rPr>
              <w:t>Plain</w:t>
            </w:r>
          </w:p>
        </w:tc>
        <w:tc>
          <w:tcPr>
            <w:tcW w:type="dxa" w:w="1872"/>
          </w:tcPr>
          <w:p>
            <w:pPr>
              <w:spacing w:after="20"/>
            </w:pPr>
            <w:r/>
            <w:r>
              <w:rPr>
                <w:sz w:val="20"/>
              </w:rPr>
              <w:t>largest probability</w:t>
            </w:r>
          </w:p>
        </w:tc>
        <w:tc>
          <w:tcPr>
            <w:tcW w:type="dxa" w:w="1584"/>
          </w:tcPr>
          <w:p>
            <w:pPr>
              <w:spacing w:after="20"/>
            </w:pPr>
            <w:r/>
            <w:r>
              <w:rPr>
                <w:sz w:val="20"/>
              </w:rPr>
              <w:t>0.9923 +/- 0.0007</w:t>
            </w:r>
          </w:p>
        </w:tc>
        <w:tc>
          <w:tcPr>
            <w:tcW w:type="dxa" w:w="1296"/>
          </w:tcPr>
          <w:p>
            <w:pPr>
              <w:spacing w:after="20"/>
            </w:pPr>
            <w:r/>
            <w:r>
              <w:rPr>
                <w:sz w:val="20"/>
              </w:rPr>
              <w:t>0.554 +/- 0.018</w:t>
            </w:r>
          </w:p>
        </w:tc>
        <w:tc>
          <w:tcPr>
            <w:tcW w:type="dxa" w:w="864"/>
          </w:tcPr>
          <w:p>
            <w:pPr>
              <w:spacing w:after="20"/>
            </w:pPr>
            <w:r/>
            <w:r>
              <w:rPr>
                <w:sz w:val="20"/>
              </w:rPr>
              <w:t>0.22</w:t>
            </w:r>
          </w:p>
        </w:tc>
        <w:tc>
          <w:tcPr>
            <w:tcW w:type="dxa" w:w="936"/>
          </w:tcPr>
          <w:p>
            <w:pPr>
              <w:spacing w:after="20"/>
            </w:pPr>
            <w:r/>
            <w:r>
              <w:rPr>
                <w:sz w:val="20"/>
              </w:rPr>
              <w:t>0.22</w:t>
            </w:r>
          </w:p>
        </w:tc>
        <w:tc>
          <w:tcPr>
            <w:tcW w:type="dxa" w:w="720"/>
          </w:tcPr>
          <w:p>
            <w:pPr>
              <w:spacing w:after="20"/>
            </w:pPr>
            <w:r/>
            <w:r>
              <w:rPr>
                <w:sz w:val="20"/>
              </w:rPr>
              <w:t>0.14</w:t>
            </w:r>
          </w:p>
        </w:tc>
      </w:tr>
      <w:tr>
        <w:tc>
          <w:tcPr>
            <w:tcW w:type="dxa" w:w="2016"/>
          </w:tcPr>
          <w:p>
            <w:pPr>
              <w:spacing w:after="20"/>
            </w:pPr>
            <w:r/>
            <w:r>
              <w:rPr>
                <w:sz w:val="20"/>
              </w:rPr>
              <w:t>Plain</w:t>
            </w:r>
          </w:p>
        </w:tc>
        <w:tc>
          <w:tcPr>
            <w:tcW w:type="dxa" w:w="1872"/>
          </w:tcPr>
          <w:p>
            <w:pPr>
              <w:spacing w:after="20"/>
            </w:pPr>
            <w:r/>
            <w:r>
              <w:rPr>
                <w:sz w:val="20"/>
              </w:rPr>
              <w:t>tuned class scales</w:t>
            </w:r>
          </w:p>
        </w:tc>
        <w:tc>
          <w:tcPr>
            <w:tcW w:type="dxa" w:w="1584"/>
          </w:tcPr>
          <w:p>
            <w:pPr>
              <w:spacing w:after="20"/>
            </w:pPr>
            <w:r/>
            <w:r>
              <w:rPr>
                <w:sz w:val="20"/>
              </w:rPr>
              <w:t>0.9922 +/- 0.0009</w:t>
            </w:r>
          </w:p>
        </w:tc>
        <w:tc>
          <w:tcPr>
            <w:tcW w:type="dxa" w:w="1296"/>
          </w:tcPr>
          <w:p>
            <w:pPr>
              <w:spacing w:after="20"/>
            </w:pPr>
            <w:r/>
            <w:r>
              <w:rPr>
                <w:sz w:val="20"/>
              </w:rPr>
              <w:t>0.558 +/- 0.037</w:t>
            </w:r>
          </w:p>
        </w:tc>
        <w:tc>
          <w:tcPr>
            <w:tcW w:type="dxa" w:w="864"/>
          </w:tcPr>
          <w:p>
            <w:pPr>
              <w:spacing w:after="20"/>
            </w:pPr>
            <w:r/>
            <w:r>
              <w:rPr>
                <w:sz w:val="20"/>
              </w:rPr>
              <w:t>0.23</w:t>
            </w:r>
          </w:p>
        </w:tc>
        <w:tc>
          <w:tcPr>
            <w:tcW w:type="dxa" w:w="936"/>
          </w:tcPr>
          <w:p>
            <w:pPr>
              <w:spacing w:after="20"/>
            </w:pPr>
            <w:r/>
            <w:r>
              <w:rPr>
                <w:sz w:val="20"/>
              </w:rPr>
              <w:t>0.25</w:t>
            </w:r>
          </w:p>
        </w:tc>
        <w:tc>
          <w:tcPr>
            <w:tcW w:type="dxa" w:w="720"/>
          </w:tcPr>
          <w:p>
            <w:pPr>
              <w:spacing w:after="20"/>
            </w:pPr>
            <w:r/>
            <w:r>
              <w:rPr>
                <w:sz w:val="20"/>
              </w:rPr>
              <w:t>0.17</w:t>
            </w:r>
          </w:p>
        </w:tc>
      </w:tr>
      <w:tr>
        <w:tc>
          <w:tcPr>
            <w:tcW w:type="dxa" w:w="2016"/>
          </w:tcPr>
          <w:p>
            <w:pPr>
              <w:spacing w:after="20"/>
            </w:pPr>
            <w:r/>
            <w:r>
              <w:rPr>
                <w:sz w:val="20"/>
              </w:rPr>
              <w:t>Square-root weights</w:t>
            </w:r>
          </w:p>
        </w:tc>
        <w:tc>
          <w:tcPr>
            <w:tcW w:type="dxa" w:w="1872"/>
          </w:tcPr>
          <w:p>
            <w:pPr>
              <w:spacing w:after="20"/>
            </w:pPr>
            <w:r/>
            <w:r>
              <w:rPr>
                <w:sz w:val="20"/>
              </w:rPr>
              <w:t>largest probability</w:t>
            </w:r>
          </w:p>
        </w:tc>
        <w:tc>
          <w:tcPr>
            <w:tcW w:type="dxa" w:w="1584"/>
          </w:tcPr>
          <w:p>
            <w:pPr>
              <w:spacing w:after="20"/>
            </w:pPr>
            <w:r/>
            <w:r>
              <w:rPr>
                <w:sz w:val="20"/>
              </w:rPr>
              <w:t>0.9910 +/- 0.0001</w:t>
            </w:r>
          </w:p>
        </w:tc>
        <w:tc>
          <w:tcPr>
            <w:tcW w:type="dxa" w:w="1296"/>
          </w:tcPr>
          <w:p>
            <w:pPr>
              <w:spacing w:after="20"/>
            </w:pPr>
            <w:r/>
            <w:r>
              <w:rPr>
                <w:sz w:val="20"/>
              </w:rPr>
              <w:t>0.559 +/- 0.005</w:t>
            </w:r>
          </w:p>
        </w:tc>
        <w:tc>
          <w:tcPr>
            <w:tcW w:type="dxa" w:w="864"/>
          </w:tcPr>
          <w:p>
            <w:pPr>
              <w:spacing w:after="20"/>
            </w:pPr>
            <w:r/>
            <w:r>
              <w:rPr>
                <w:sz w:val="20"/>
              </w:rPr>
              <w:t>0.23</w:t>
            </w:r>
          </w:p>
        </w:tc>
        <w:tc>
          <w:tcPr>
            <w:tcW w:type="dxa" w:w="936"/>
          </w:tcPr>
          <w:p>
            <w:pPr>
              <w:spacing w:after="20"/>
            </w:pPr>
            <w:r/>
            <w:r>
              <w:rPr>
                <w:sz w:val="20"/>
              </w:rPr>
              <w:t>0.22</w:t>
            </w:r>
          </w:p>
        </w:tc>
        <w:tc>
          <w:tcPr>
            <w:tcW w:type="dxa" w:w="720"/>
          </w:tcPr>
          <w:p>
            <w:pPr>
              <w:spacing w:after="20"/>
            </w:pPr>
            <w:r/>
            <w:r>
              <w:rPr>
                <w:sz w:val="20"/>
              </w:rPr>
              <w:t>0.20</w:t>
            </w:r>
          </w:p>
        </w:tc>
      </w:tr>
      <w:tr>
        <w:tc>
          <w:tcPr>
            <w:tcW w:type="dxa" w:w="2016"/>
          </w:tcPr>
          <w:p>
            <w:pPr>
              <w:spacing w:after="20"/>
            </w:pPr>
            <w:r/>
            <w:r>
              <w:rPr>
                <w:sz w:val="20"/>
              </w:rPr>
              <w:t>Square-root weights</w:t>
            </w:r>
          </w:p>
        </w:tc>
        <w:tc>
          <w:tcPr>
            <w:tcW w:type="dxa" w:w="1872"/>
          </w:tcPr>
          <w:p>
            <w:pPr>
              <w:spacing w:after="20"/>
            </w:pPr>
            <w:r/>
            <w:r>
              <w:rPr>
                <w:sz w:val="20"/>
              </w:rPr>
              <w:t>tuned class scales</w:t>
            </w:r>
          </w:p>
        </w:tc>
        <w:tc>
          <w:tcPr>
            <w:tcW w:type="dxa" w:w="1584"/>
          </w:tcPr>
          <w:p>
            <w:pPr>
              <w:spacing w:after="20"/>
            </w:pPr>
            <w:r/>
            <w:r>
              <w:rPr>
                <w:sz w:val="20"/>
              </w:rPr>
              <w:t>0.9919 +/- 0.0004</w:t>
            </w:r>
          </w:p>
        </w:tc>
        <w:tc>
          <w:tcPr>
            <w:tcW w:type="dxa" w:w="1296"/>
          </w:tcPr>
          <w:p>
            <w:pPr>
              <w:spacing w:after="20"/>
            </w:pPr>
            <w:r/>
            <w:r>
              <w:rPr>
                <w:sz w:val="20"/>
              </w:rPr>
              <w:t>0.567 +/- 0.001</w:t>
            </w:r>
          </w:p>
        </w:tc>
        <w:tc>
          <w:tcPr>
            <w:tcW w:type="dxa" w:w="864"/>
          </w:tcPr>
          <w:p>
            <w:pPr>
              <w:spacing w:after="20"/>
            </w:pPr>
            <w:r/>
            <w:r>
              <w:rPr>
                <w:sz w:val="20"/>
              </w:rPr>
              <w:t>0.23</w:t>
            </w:r>
          </w:p>
        </w:tc>
        <w:tc>
          <w:tcPr>
            <w:tcW w:type="dxa" w:w="936"/>
          </w:tcPr>
          <w:p>
            <w:pPr>
              <w:spacing w:after="20"/>
            </w:pPr>
            <w:r/>
            <w:r>
              <w:rPr>
                <w:sz w:val="20"/>
              </w:rPr>
              <w:t>0.20</w:t>
            </w:r>
          </w:p>
        </w:tc>
        <w:tc>
          <w:tcPr>
            <w:tcW w:type="dxa" w:w="720"/>
          </w:tcPr>
          <w:p>
            <w:pPr>
              <w:spacing w:after="20"/>
            </w:pPr>
            <w:r/>
            <w:r>
              <w:rPr>
                <w:sz w:val="20"/>
              </w:rPr>
              <w:t>0.26</w:t>
            </w:r>
          </w:p>
        </w:tc>
      </w:tr>
      <w:tr>
        <w:tc>
          <w:tcPr>
            <w:tcW w:type="dxa" w:w="2016"/>
          </w:tcPr>
          <w:p>
            <w:pPr>
              <w:spacing w:after="20"/>
            </w:pPr>
            <w:r/>
            <w:r>
              <w:rPr>
                <w:sz w:val="20"/>
              </w:rPr>
              <w:t>Balanced weights</w:t>
            </w:r>
          </w:p>
        </w:tc>
        <w:tc>
          <w:tcPr>
            <w:tcW w:type="dxa" w:w="1872"/>
          </w:tcPr>
          <w:p>
            <w:pPr>
              <w:spacing w:after="20"/>
            </w:pPr>
            <w:r/>
            <w:r>
              <w:rPr>
                <w:sz w:val="20"/>
              </w:rPr>
              <w:t>largest probability</w:t>
            </w:r>
          </w:p>
        </w:tc>
        <w:tc>
          <w:tcPr>
            <w:tcW w:type="dxa" w:w="1584"/>
          </w:tcPr>
          <w:p>
            <w:pPr>
              <w:spacing w:after="20"/>
            </w:pPr>
            <w:r/>
            <w:r>
              <w:rPr>
                <w:sz w:val="20"/>
              </w:rPr>
              <w:t>0.9905 +/- 0.0002</w:t>
            </w:r>
          </w:p>
        </w:tc>
        <w:tc>
          <w:tcPr>
            <w:tcW w:type="dxa" w:w="1296"/>
          </w:tcPr>
          <w:p>
            <w:pPr>
              <w:spacing w:after="20"/>
            </w:pPr>
            <w:r/>
            <w:r>
              <w:rPr>
                <w:sz w:val="20"/>
              </w:rPr>
              <w:t>0.549 +/- 0.007</w:t>
            </w:r>
          </w:p>
        </w:tc>
        <w:tc>
          <w:tcPr>
            <w:tcW w:type="dxa" w:w="864"/>
          </w:tcPr>
          <w:p>
            <w:pPr>
              <w:spacing w:after="20"/>
            </w:pPr>
            <w:r/>
            <w:r>
              <w:rPr>
                <w:sz w:val="20"/>
              </w:rPr>
              <w:t>0.25</w:t>
            </w:r>
          </w:p>
        </w:tc>
        <w:tc>
          <w:tcPr>
            <w:tcW w:type="dxa" w:w="936"/>
          </w:tcPr>
          <w:p>
            <w:pPr>
              <w:spacing w:after="20"/>
            </w:pPr>
            <w:r/>
            <w:r>
              <w:rPr>
                <w:sz w:val="20"/>
              </w:rPr>
              <w:t>0.21</w:t>
            </w:r>
          </w:p>
        </w:tc>
        <w:tc>
          <w:tcPr>
            <w:tcW w:type="dxa" w:w="720"/>
          </w:tcPr>
          <w:p>
            <w:pPr>
              <w:spacing w:after="20"/>
            </w:pPr>
            <w:r/>
            <w:r>
              <w:rPr>
                <w:sz w:val="20"/>
              </w:rPr>
              <w:t>0.24</w:t>
            </w:r>
          </w:p>
        </w:tc>
      </w:tr>
      <w:tr>
        <w:tc>
          <w:tcPr>
            <w:tcW w:type="dxa" w:w="2016"/>
          </w:tcPr>
          <w:p>
            <w:pPr>
              <w:spacing w:after="20"/>
            </w:pPr>
            <w:r/>
            <w:r>
              <w:rPr>
                <w:sz w:val="20"/>
              </w:rPr>
              <w:t>Balanced weights</w:t>
            </w:r>
          </w:p>
        </w:tc>
        <w:tc>
          <w:tcPr>
            <w:tcW w:type="dxa" w:w="1872"/>
          </w:tcPr>
          <w:p>
            <w:pPr>
              <w:spacing w:after="20"/>
            </w:pPr>
            <w:r/>
            <w:r>
              <w:rPr>
                <w:sz w:val="20"/>
              </w:rPr>
              <w:t>tuned class scales</w:t>
            </w:r>
          </w:p>
        </w:tc>
        <w:tc>
          <w:tcPr>
            <w:tcW w:type="dxa" w:w="1584"/>
          </w:tcPr>
          <w:p>
            <w:pPr>
              <w:spacing w:after="20"/>
            </w:pPr>
            <w:r/>
            <w:r>
              <w:rPr>
                <w:sz w:val="20"/>
              </w:rPr>
              <w:t>0.9908 +/- 0.0001</w:t>
            </w:r>
          </w:p>
        </w:tc>
        <w:tc>
          <w:tcPr>
            <w:tcW w:type="dxa" w:w="1296"/>
          </w:tcPr>
          <w:p>
            <w:pPr>
              <w:spacing w:after="20"/>
            </w:pPr>
            <w:r/>
            <w:r>
              <w:rPr>
                <w:sz w:val="20"/>
              </w:rPr>
              <w:t>0.558 +/- 0.006</w:t>
            </w:r>
          </w:p>
        </w:tc>
        <w:tc>
          <w:tcPr>
            <w:tcW w:type="dxa" w:w="864"/>
          </w:tcPr>
          <w:p>
            <w:pPr>
              <w:spacing w:after="20"/>
            </w:pPr>
            <w:r/>
            <w:r>
              <w:rPr>
                <w:sz w:val="20"/>
              </w:rPr>
              <w:t>0.23</w:t>
            </w:r>
          </w:p>
        </w:tc>
        <w:tc>
          <w:tcPr>
            <w:tcW w:type="dxa" w:w="936"/>
          </w:tcPr>
          <w:p>
            <w:pPr>
              <w:spacing w:after="20"/>
            </w:pPr>
            <w:r/>
            <w:r>
              <w:rPr>
                <w:sz w:val="20"/>
              </w:rPr>
              <w:t>0.23</w:t>
            </w:r>
          </w:p>
        </w:tc>
        <w:tc>
          <w:tcPr>
            <w:tcW w:type="dxa" w:w="720"/>
          </w:tcPr>
          <w:p>
            <w:pPr>
              <w:spacing w:after="20"/>
            </w:pPr>
            <w:r/>
            <w:r>
              <w:rPr>
                <w:sz w:val="20"/>
              </w:rPr>
              <w:t>0.23</w:t>
            </w:r>
          </w:p>
        </w:tc>
      </w:tr>
      <w:tr>
        <w:tc>
          <w:tcPr>
            <w:tcW w:type="dxa" w:w="2016"/>
          </w:tcPr>
          <w:p>
            <w:pPr>
              <w:spacing w:after="20"/>
            </w:pPr>
            <w:r/>
            <w:r>
              <w:rPr>
                <w:sz w:val="20"/>
              </w:rPr>
              <w:t>Logit-adjusted</w:t>
            </w:r>
          </w:p>
        </w:tc>
        <w:tc>
          <w:tcPr>
            <w:tcW w:type="dxa" w:w="1872"/>
          </w:tcPr>
          <w:p>
            <w:pPr>
              <w:spacing w:after="20"/>
            </w:pPr>
            <w:r/>
            <w:r>
              <w:rPr>
                <w:sz w:val="20"/>
              </w:rPr>
              <w:t>largest probability</w:t>
            </w:r>
          </w:p>
        </w:tc>
        <w:tc>
          <w:tcPr>
            <w:tcW w:type="dxa" w:w="1584"/>
          </w:tcPr>
          <w:p>
            <w:pPr>
              <w:spacing w:after="20"/>
            </w:pPr>
            <w:r/>
            <w:r>
              <w:rPr>
                <w:sz w:val="20"/>
              </w:rPr>
              <w:t>0.9905 +/- 0.0002</w:t>
            </w:r>
          </w:p>
        </w:tc>
        <w:tc>
          <w:tcPr>
            <w:tcW w:type="dxa" w:w="1296"/>
          </w:tcPr>
          <w:p>
            <w:pPr>
              <w:spacing w:after="20"/>
            </w:pPr>
            <w:r/>
            <w:r>
              <w:rPr>
                <w:sz w:val="20"/>
              </w:rPr>
              <w:t>0.555 +/- 0.008</w:t>
            </w:r>
          </w:p>
        </w:tc>
        <w:tc>
          <w:tcPr>
            <w:tcW w:type="dxa" w:w="864"/>
          </w:tcPr>
          <w:p>
            <w:pPr>
              <w:spacing w:after="20"/>
            </w:pPr>
            <w:r/>
            <w:r>
              <w:rPr>
                <w:sz w:val="20"/>
              </w:rPr>
              <w:t>0.26</w:t>
            </w:r>
          </w:p>
        </w:tc>
        <w:tc>
          <w:tcPr>
            <w:tcW w:type="dxa" w:w="936"/>
          </w:tcPr>
          <w:p>
            <w:pPr>
              <w:spacing w:after="20"/>
            </w:pPr>
            <w:r/>
            <w:r>
              <w:rPr>
                <w:sz w:val="20"/>
              </w:rPr>
              <w:t>0.16</w:t>
            </w:r>
          </w:p>
        </w:tc>
        <w:tc>
          <w:tcPr>
            <w:tcW w:type="dxa" w:w="720"/>
          </w:tcPr>
          <w:p>
            <w:pPr>
              <w:spacing w:after="20"/>
            </w:pPr>
            <w:r/>
            <w:r>
              <w:rPr>
                <w:sz w:val="20"/>
              </w:rPr>
              <w:t>0.24</w:t>
            </w:r>
          </w:p>
        </w:tc>
      </w:tr>
      <w:tr>
        <w:tc>
          <w:tcPr>
            <w:tcW w:type="dxa" w:w="2016"/>
          </w:tcPr>
          <w:p>
            <w:pPr>
              <w:spacing w:after="20"/>
            </w:pPr>
            <w:r/>
            <w:r>
              <w:rPr>
                <w:sz w:val="20"/>
              </w:rPr>
              <w:t>Logit-adjusted</w:t>
            </w:r>
          </w:p>
        </w:tc>
        <w:tc>
          <w:tcPr>
            <w:tcW w:type="dxa" w:w="1872"/>
          </w:tcPr>
          <w:p>
            <w:pPr>
              <w:spacing w:after="20"/>
            </w:pPr>
            <w:r/>
            <w:r>
              <w:rPr>
                <w:sz w:val="20"/>
              </w:rPr>
              <w:t>tuned class scales</w:t>
            </w:r>
          </w:p>
        </w:tc>
        <w:tc>
          <w:tcPr>
            <w:tcW w:type="dxa" w:w="1584"/>
          </w:tcPr>
          <w:p>
            <w:pPr>
              <w:spacing w:after="20"/>
            </w:pPr>
            <w:r/>
            <w:r>
              <w:rPr>
                <w:sz w:val="20"/>
              </w:rPr>
              <w:t>0.9906 +/- 0.0001</w:t>
            </w:r>
          </w:p>
        </w:tc>
        <w:tc>
          <w:tcPr>
            <w:tcW w:type="dxa" w:w="1296"/>
          </w:tcPr>
          <w:p>
            <w:pPr>
              <w:spacing w:after="20"/>
            </w:pPr>
            <w:r/>
            <w:r>
              <w:rPr>
                <w:sz w:val="20"/>
              </w:rPr>
              <w:t>0.560 +/- 0.004</w:t>
            </w:r>
          </w:p>
        </w:tc>
        <w:tc>
          <w:tcPr>
            <w:tcW w:type="dxa" w:w="864"/>
          </w:tcPr>
          <w:p>
            <w:pPr>
              <w:spacing w:after="20"/>
            </w:pPr>
            <w:r/>
            <w:r>
              <w:rPr>
                <w:sz w:val="20"/>
              </w:rPr>
              <w:t>0.22</w:t>
            </w:r>
          </w:p>
        </w:tc>
        <w:tc>
          <w:tcPr>
            <w:tcW w:type="dxa" w:w="936"/>
          </w:tcPr>
          <w:p>
            <w:pPr>
              <w:spacing w:after="20"/>
            </w:pPr>
            <w:r/>
            <w:r>
              <w:rPr>
                <w:sz w:val="20"/>
              </w:rPr>
              <w:t>0.22</w:t>
            </w:r>
          </w:p>
        </w:tc>
        <w:tc>
          <w:tcPr>
            <w:tcW w:type="dxa" w:w="720"/>
          </w:tcPr>
          <w:p>
            <w:pPr>
              <w:spacing w:after="20"/>
            </w:pPr>
            <w:r/>
            <w:r>
              <w:rPr>
                <w:sz w:val="20"/>
              </w:rPr>
              <w:t>0.25</w:t>
            </w:r>
          </w:p>
        </w:tc>
      </w:tr>
    </w:tbl>
    <w:p>
      <w:pPr>
        <w:spacing w:after="40"/>
      </w:pPr>
    </w:p>
    <w:p>
      <w:pPr>
        <w:jc w:val="center"/>
      </w:pPr>
      <w:r>
        <w:drawing>
          <wp:inline xmlns:a="http://schemas.openxmlformats.org/drawingml/2006/main" xmlns:pic="http://schemas.openxmlformats.org/drawingml/2006/picture">
            <wp:extent cx="5669280" cy="2250979"/>
            <wp:docPr id="3" name="Picture 3"/>
            <wp:cNvGraphicFramePr>
              <a:graphicFrameLocks noChangeAspect="1"/>
            </wp:cNvGraphicFramePr>
            <a:graphic>
              <a:graphicData uri="http://schemas.openxmlformats.org/drawingml/2006/picture">
                <pic:pic>
                  <pic:nvPicPr>
                    <pic:cNvPr id="0" name="fig_02.png"/>
                    <pic:cNvPicPr/>
                  </pic:nvPicPr>
                  <pic:blipFill>
                    <a:blip r:embed="rId11"/>
                    <a:stretch>
                      <a:fillRect/>
                    </a:stretch>
                  </pic:blipFill>
                  <pic:spPr>
                    <a:xfrm>
                      <a:off x="0" y="0"/>
                      <a:ext cx="5669280" cy="2250979"/>
                    </a:xfrm>
                    <a:prstGeom prst="rect"/>
                  </pic:spPr>
                </pic:pic>
              </a:graphicData>
            </a:graphic>
          </wp:inline>
        </w:drawing>
      </w:r>
    </w:p>
    <w:p>
      <w:pPr>
        <w:jc w:val="center"/>
      </w:pPr>
      <w:r>
        <w:rPr>
          <w:i/>
          <w:sz w:val="19"/>
        </w:rPr>
        <w:t>Figure 3. Test F1 per class for each loss and decoding (mean over 3 seeds).</w:t>
      </w:r>
    </w:p>
    <w:p>
      <w:r>
        <w:rPr>
          <w:i w:val="0"/>
        </w:rPr>
        <w:t>Paired differences from the plain loss with largest-probability decoding (bootstrap, seed-42 predictions), weighted F1 / macro F1: square-root weights -0.0017 / -0.019 (-0.033 to -0.005); balanced weights -0.0025 / -0.030 (-0.045 to -0.014); logit-adjusted -0.0024 / -0.019 (-0.036 to -0.003); square-root weights with tuned scales -0.0005 / -0.006 (-0.021 to +0.007); plain loss with tuned scales -0.0002 / +0.012 (+0.001 to +0.024).</w:t>
      </w:r>
    </w:p>
    <w:p>
      <w:pPr>
        <w:pStyle w:val="ListBullet"/>
        <w:spacing w:after="40"/>
      </w:pPr>
      <w:r>
        <w:t>None of the loss changes raised macro F1 beyond the noise of the seeds (the largest mean gain is 0.013, from square-root weights with tuned scales, against a seed standard deviation of 0.018 for the plain loss). In the seed-42 paired test the weighted losses without tuned scales were lower than the plain loss.</w:t>
      </w:r>
    </w:p>
    <w:p>
      <w:pPr>
        <w:pStyle w:val="ListBullet"/>
        <w:spacing w:after="40"/>
      </w:pPr>
      <w:r>
        <w:t>Tuned class scales on the plain model gave +0.012 macro F1 in the seed-42 paired test, but the three-seed means (0.554 and 0.558, standard deviations 0.018 and 0.037) do not show it.</w:t>
      </w:r>
    </w:p>
    <w:p>
      <w:pPr>
        <w:pStyle w:val="ListBullet"/>
        <w:spacing w:after="40"/>
      </w:pPr>
      <w:r>
        <w:t>Only DoS improved clearly (from 0.14 with the plain loss to 0.20 to 0.26 with the weighted or logit-adjusted losses). Analysis and Backdoor stayed near 0.2 and Worms near 0 under every loss.</w:t>
      </w:r>
    </w:p>
    <w:p>
      <w:pPr>
        <w:pStyle w:val="ListBullet"/>
        <w:spacing w:after="40"/>
      </w:pPr>
      <w:r>
        <w:t>This differs from the LightGBM result on all our data (class weights +0.075 macro F1, section 5). We did not test why; the data subset, the model and the stopping rule all differ.</w:t>
      </w:r>
    </w:p>
    <w:p>
      <w:pPr>
        <w:pStyle w:val="Heading2"/>
      </w:pPr>
      <w:r>
        <w:t>6.5 A limit that the loss cannot remove</w:t>
      </w:r>
    </w:p>
    <w:p>
      <w:r>
        <w:rPr>
          <w:i w:val="0"/>
        </w:rPr>
        <w:t>After duplicate removal, some rows still share exactly the same features but carry different labels. On the paper's subset, for each class, the share of its flows that have an identical-feature twin of another class, and the best F1 that any rule using only these features can reach for the class, found by choosing the identical-feature groups to label as that class so that F1 is highest (in sample, on the same flows, so it is an upper bound for a model that sees only these features; for comparison, the F1 of the rule that predicts the most common label of each group):</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DCE6F1"/>
          </w:tcPr>
          <w:p>
            <w:pPr>
              <w:spacing w:after="20"/>
            </w:pPr>
            <w:r/>
            <w:r>
              <w:rPr>
                <w:b/>
                <w:sz w:val="20"/>
              </w:rPr>
              <w:t>Class</w:t>
            </w:r>
          </w:p>
        </w:tc>
        <w:tc>
          <w:tcPr>
            <w:tcW w:type="dxa" w:w="1152"/>
            <w:shd w:val="clear" w:color="auto" w:fill="DCE6F1"/>
          </w:tcPr>
          <w:p>
            <w:pPr>
              <w:spacing w:after="20"/>
            </w:pPr>
            <w:r/>
            <w:r>
              <w:rPr>
                <w:b/>
                <w:sz w:val="20"/>
              </w:rPr>
              <w:t>Flows</w:t>
            </w:r>
          </w:p>
        </w:tc>
        <w:tc>
          <w:tcPr>
            <w:tcW w:type="dxa" w:w="2448"/>
            <w:shd w:val="clear" w:color="auto" w:fill="DCE6F1"/>
          </w:tcPr>
          <w:p>
            <w:pPr>
              <w:spacing w:after="20"/>
            </w:pPr>
            <w:r/>
            <w:r>
              <w:rPr>
                <w:b/>
                <w:sz w:val="20"/>
              </w:rPr>
              <w:t>Share with a twin of another class</w:t>
            </w:r>
          </w:p>
        </w:tc>
        <w:tc>
          <w:tcPr>
            <w:tcW w:type="dxa" w:w="2160"/>
            <w:shd w:val="clear" w:color="auto" w:fill="DCE6F1"/>
          </w:tcPr>
          <w:p>
            <w:pPr>
              <w:spacing w:after="20"/>
            </w:pPr>
            <w:r/>
            <w:r>
              <w:rPr>
                <w:b/>
                <w:sz w:val="20"/>
              </w:rPr>
              <w:t>Best possible F1 on these features</w:t>
            </w:r>
          </w:p>
        </w:tc>
        <w:tc>
          <w:tcPr>
            <w:tcW w:type="dxa" w:w="1872"/>
            <w:shd w:val="clear" w:color="auto" w:fill="DCE6F1"/>
          </w:tcPr>
          <w:p>
            <w:pPr>
              <w:spacing w:after="20"/>
            </w:pPr>
            <w:r/>
            <w:r>
              <w:rPr>
                <w:b/>
                <w:sz w:val="20"/>
              </w:rPr>
              <w:t>Most-common-label rule</w:t>
            </w:r>
          </w:p>
        </w:tc>
      </w:tr>
      <w:tr>
        <w:tc>
          <w:tcPr>
            <w:tcW w:type="dxa" w:w="1872"/>
          </w:tcPr>
          <w:p>
            <w:pPr>
              <w:spacing w:after="20"/>
            </w:pPr>
            <w:r/>
            <w:r>
              <w:rPr>
                <w:sz w:val="20"/>
              </w:rPr>
              <w:t>Analysis</w:t>
            </w:r>
          </w:p>
        </w:tc>
        <w:tc>
          <w:tcPr>
            <w:tcW w:type="dxa" w:w="1152"/>
          </w:tcPr>
          <w:p>
            <w:pPr>
              <w:spacing w:after="20"/>
            </w:pPr>
            <w:r/>
            <w:r>
              <w:rPr>
                <w:sz w:val="20"/>
              </w:rPr>
              <w:t>299</w:t>
            </w:r>
          </w:p>
        </w:tc>
        <w:tc>
          <w:tcPr>
            <w:tcW w:type="dxa" w:w="2448"/>
          </w:tcPr>
          <w:p>
            <w:pPr>
              <w:spacing w:after="20"/>
            </w:pPr>
            <w:r/>
            <w:r>
              <w:rPr>
                <w:sz w:val="20"/>
              </w:rPr>
              <w:t>80.6%</w:t>
            </w:r>
          </w:p>
        </w:tc>
        <w:tc>
          <w:tcPr>
            <w:tcW w:type="dxa" w:w="2160"/>
          </w:tcPr>
          <w:p>
            <w:pPr>
              <w:spacing w:after="20"/>
            </w:pPr>
            <w:r/>
            <w:r>
              <w:rPr>
                <w:sz w:val="20"/>
              </w:rPr>
              <w:t>0.383</w:t>
            </w:r>
          </w:p>
        </w:tc>
        <w:tc>
          <w:tcPr>
            <w:tcW w:type="dxa" w:w="1872"/>
          </w:tcPr>
          <w:p>
            <w:pPr>
              <w:spacing w:after="20"/>
            </w:pPr>
            <w:r/>
            <w:r>
              <w:rPr>
                <w:sz w:val="20"/>
              </w:rPr>
              <w:t>0.383</w:t>
            </w:r>
          </w:p>
        </w:tc>
      </w:tr>
      <w:tr>
        <w:tc>
          <w:tcPr>
            <w:tcW w:type="dxa" w:w="1872"/>
          </w:tcPr>
          <w:p>
            <w:pPr>
              <w:spacing w:after="20"/>
            </w:pPr>
            <w:r/>
            <w:r>
              <w:rPr>
                <w:sz w:val="20"/>
              </w:rPr>
              <w:t>Backdoor</w:t>
            </w:r>
          </w:p>
        </w:tc>
        <w:tc>
          <w:tcPr>
            <w:tcW w:type="dxa" w:w="1152"/>
          </w:tcPr>
          <w:p>
            <w:pPr>
              <w:spacing w:after="20"/>
            </w:pPr>
            <w:r/>
            <w:r>
              <w:rPr>
                <w:sz w:val="20"/>
              </w:rPr>
              <w:t>297</w:t>
            </w:r>
          </w:p>
        </w:tc>
        <w:tc>
          <w:tcPr>
            <w:tcW w:type="dxa" w:w="2448"/>
          </w:tcPr>
          <w:p>
            <w:pPr>
              <w:spacing w:after="20"/>
            </w:pPr>
            <w:r/>
            <w:r>
              <w:rPr>
                <w:sz w:val="20"/>
              </w:rPr>
              <w:t>84.5%</w:t>
            </w:r>
          </w:p>
        </w:tc>
        <w:tc>
          <w:tcPr>
            <w:tcW w:type="dxa" w:w="2160"/>
          </w:tcPr>
          <w:p>
            <w:pPr>
              <w:spacing w:after="20"/>
            </w:pPr>
            <w:r/>
            <w:r>
              <w:rPr>
                <w:sz w:val="20"/>
              </w:rPr>
              <w:t>0.374</w:t>
            </w:r>
          </w:p>
        </w:tc>
        <w:tc>
          <w:tcPr>
            <w:tcW w:type="dxa" w:w="1872"/>
          </w:tcPr>
          <w:p>
            <w:pPr>
              <w:spacing w:after="20"/>
            </w:pPr>
            <w:r/>
            <w:r>
              <w:rPr>
                <w:sz w:val="20"/>
              </w:rPr>
              <w:t>0.286</w:t>
            </w:r>
          </w:p>
        </w:tc>
      </w:tr>
      <w:tr>
        <w:tc>
          <w:tcPr>
            <w:tcW w:type="dxa" w:w="1872"/>
          </w:tcPr>
          <w:p>
            <w:pPr>
              <w:spacing w:after="20"/>
            </w:pPr>
            <w:r/>
            <w:r>
              <w:rPr>
                <w:sz w:val="20"/>
              </w:rPr>
              <w:t>DoS</w:t>
            </w:r>
          </w:p>
        </w:tc>
        <w:tc>
          <w:tcPr>
            <w:tcW w:type="dxa" w:w="1152"/>
          </w:tcPr>
          <w:p>
            <w:pPr>
              <w:spacing w:after="20"/>
            </w:pPr>
            <w:r/>
            <w:r>
              <w:rPr>
                <w:sz w:val="20"/>
              </w:rPr>
              <w:t>823</w:t>
            </w:r>
          </w:p>
        </w:tc>
        <w:tc>
          <w:tcPr>
            <w:tcW w:type="dxa" w:w="2448"/>
          </w:tcPr>
          <w:p>
            <w:pPr>
              <w:spacing w:after="20"/>
            </w:pPr>
            <w:r/>
            <w:r>
              <w:rPr>
                <w:sz w:val="20"/>
              </w:rPr>
              <w:t>33.8%</w:t>
            </w:r>
          </w:p>
        </w:tc>
        <w:tc>
          <w:tcPr>
            <w:tcW w:type="dxa" w:w="2160"/>
          </w:tcPr>
          <w:p>
            <w:pPr>
              <w:spacing w:after="20"/>
            </w:pPr>
            <w:r/>
            <w:r>
              <w:rPr>
                <w:sz w:val="20"/>
              </w:rPr>
              <w:t>0.800</w:t>
            </w:r>
          </w:p>
        </w:tc>
        <w:tc>
          <w:tcPr>
            <w:tcW w:type="dxa" w:w="1872"/>
          </w:tcPr>
          <w:p>
            <w:pPr>
              <w:spacing w:after="20"/>
            </w:pPr>
            <w:r/>
            <w:r>
              <w:rPr>
                <w:sz w:val="20"/>
              </w:rPr>
              <w:t>0.792</w:t>
            </w:r>
          </w:p>
        </w:tc>
      </w:tr>
      <w:tr>
        <w:tc>
          <w:tcPr>
            <w:tcW w:type="dxa" w:w="1872"/>
          </w:tcPr>
          <w:p>
            <w:pPr>
              <w:spacing w:after="20"/>
            </w:pPr>
            <w:r/>
            <w:r>
              <w:rPr>
                <w:sz w:val="20"/>
              </w:rPr>
              <w:t>Exploits</w:t>
            </w:r>
          </w:p>
        </w:tc>
        <w:tc>
          <w:tcPr>
            <w:tcW w:type="dxa" w:w="1152"/>
          </w:tcPr>
          <w:p>
            <w:pPr>
              <w:spacing w:after="20"/>
            </w:pPr>
            <w:r/>
            <w:r>
              <w:rPr>
                <w:sz w:val="20"/>
              </w:rPr>
              <w:t>4,040</w:t>
            </w:r>
          </w:p>
        </w:tc>
        <w:tc>
          <w:tcPr>
            <w:tcW w:type="dxa" w:w="2448"/>
          </w:tcPr>
          <w:p>
            <w:pPr>
              <w:spacing w:after="20"/>
            </w:pPr>
            <w:r/>
            <w:r>
              <w:rPr>
                <w:sz w:val="20"/>
              </w:rPr>
              <w:t>7.0%</w:t>
            </w:r>
          </w:p>
        </w:tc>
        <w:tc>
          <w:tcPr>
            <w:tcW w:type="dxa" w:w="2160"/>
          </w:tcPr>
          <w:p>
            <w:pPr>
              <w:spacing w:after="20"/>
            </w:pPr>
            <w:r/>
            <w:r>
              <w:rPr>
                <w:sz w:val="20"/>
              </w:rPr>
              <w:t>0.964</w:t>
            </w:r>
          </w:p>
        </w:tc>
        <w:tc>
          <w:tcPr>
            <w:tcW w:type="dxa" w:w="1872"/>
          </w:tcPr>
          <w:p>
            <w:pPr>
              <w:spacing w:after="20"/>
            </w:pPr>
            <w:r/>
            <w:r>
              <w:rPr>
                <w:sz w:val="20"/>
              </w:rPr>
              <w:t>0.963</w:t>
            </w:r>
          </w:p>
        </w:tc>
      </w:tr>
      <w:tr>
        <w:tc>
          <w:tcPr>
            <w:tcW w:type="dxa" w:w="1872"/>
          </w:tcPr>
          <w:p>
            <w:pPr>
              <w:spacing w:after="20"/>
            </w:pPr>
            <w:r/>
            <w:r>
              <w:rPr>
                <w:sz w:val="20"/>
              </w:rPr>
              <w:t>Fuzzers</w:t>
            </w:r>
          </w:p>
        </w:tc>
        <w:tc>
          <w:tcPr>
            <w:tcW w:type="dxa" w:w="1152"/>
          </w:tcPr>
          <w:p>
            <w:pPr>
              <w:spacing w:after="20"/>
            </w:pPr>
            <w:r/>
            <w:r>
              <w:rPr>
                <w:sz w:val="20"/>
              </w:rPr>
              <w:t>3,989</w:t>
            </w:r>
          </w:p>
        </w:tc>
        <w:tc>
          <w:tcPr>
            <w:tcW w:type="dxa" w:w="2448"/>
          </w:tcPr>
          <w:p>
            <w:pPr>
              <w:spacing w:after="20"/>
            </w:pPr>
            <w:r/>
            <w:r>
              <w:rPr>
                <w:sz w:val="20"/>
              </w:rPr>
              <w:t>8.0%</w:t>
            </w:r>
          </w:p>
        </w:tc>
        <w:tc>
          <w:tcPr>
            <w:tcW w:type="dxa" w:w="2160"/>
          </w:tcPr>
          <w:p>
            <w:pPr>
              <w:spacing w:after="20"/>
            </w:pPr>
            <w:r/>
            <w:r>
              <w:rPr>
                <w:sz w:val="20"/>
              </w:rPr>
              <w:t>0.961</w:t>
            </w:r>
          </w:p>
        </w:tc>
        <w:tc>
          <w:tcPr>
            <w:tcW w:type="dxa" w:w="1872"/>
          </w:tcPr>
          <w:p>
            <w:pPr>
              <w:spacing w:after="20"/>
            </w:pPr>
            <w:r/>
            <w:r>
              <w:rPr>
                <w:sz w:val="20"/>
              </w:rPr>
              <w:t>0.958</w:t>
            </w:r>
          </w:p>
        </w:tc>
      </w:tr>
      <w:tr>
        <w:tc>
          <w:tcPr>
            <w:tcW w:type="dxa" w:w="1872"/>
          </w:tcPr>
          <w:p>
            <w:pPr>
              <w:spacing w:after="20"/>
            </w:pPr>
            <w:r/>
            <w:r>
              <w:rPr>
                <w:sz w:val="20"/>
              </w:rPr>
              <w:t>Generic</w:t>
            </w:r>
          </w:p>
        </w:tc>
        <w:tc>
          <w:tcPr>
            <w:tcW w:type="dxa" w:w="1152"/>
          </w:tcPr>
          <w:p>
            <w:pPr>
              <w:spacing w:after="20"/>
            </w:pPr>
            <w:r/>
            <w:r>
              <w:rPr>
                <w:sz w:val="20"/>
              </w:rPr>
              <w:t>1,973</w:t>
            </w:r>
          </w:p>
        </w:tc>
        <w:tc>
          <w:tcPr>
            <w:tcW w:type="dxa" w:w="2448"/>
          </w:tcPr>
          <w:p>
            <w:pPr>
              <w:spacing w:after="20"/>
            </w:pPr>
            <w:r/>
            <w:r>
              <w:rPr>
                <w:sz w:val="20"/>
              </w:rPr>
              <w:t>0.6%</w:t>
            </w:r>
          </w:p>
        </w:tc>
        <w:tc>
          <w:tcPr>
            <w:tcW w:type="dxa" w:w="2160"/>
          </w:tcPr>
          <w:p>
            <w:pPr>
              <w:spacing w:after="20"/>
            </w:pPr>
            <w:r/>
            <w:r>
              <w:rPr>
                <w:sz w:val="20"/>
              </w:rPr>
              <w:t>0.997</w:t>
            </w:r>
          </w:p>
        </w:tc>
        <w:tc>
          <w:tcPr>
            <w:tcW w:type="dxa" w:w="1872"/>
          </w:tcPr>
          <w:p>
            <w:pPr>
              <w:spacing w:after="20"/>
            </w:pPr>
            <w:r/>
            <w:r>
              <w:rPr>
                <w:sz w:val="20"/>
              </w:rPr>
              <w:t>0.995</w:t>
            </w:r>
          </w:p>
        </w:tc>
      </w:tr>
      <w:tr>
        <w:tc>
          <w:tcPr>
            <w:tcW w:type="dxa" w:w="1872"/>
          </w:tcPr>
          <w:p>
            <w:pPr>
              <w:spacing w:after="20"/>
            </w:pPr>
            <w:r/>
            <w:r>
              <w:rPr>
                <w:sz w:val="20"/>
              </w:rPr>
              <w:t>Normal</w:t>
            </w:r>
          </w:p>
        </w:tc>
        <w:tc>
          <w:tcPr>
            <w:tcW w:type="dxa" w:w="1152"/>
          </w:tcPr>
          <w:p>
            <w:pPr>
              <w:spacing w:after="20"/>
            </w:pPr>
            <w:r/>
            <w:r>
              <w:rPr>
                <w:sz w:val="20"/>
              </w:rPr>
              <w:t>624,483</w:t>
            </w:r>
          </w:p>
        </w:tc>
        <w:tc>
          <w:tcPr>
            <w:tcW w:type="dxa" w:w="2448"/>
          </w:tcPr>
          <w:p>
            <w:pPr>
              <w:spacing w:after="20"/>
            </w:pPr>
            <w:r/>
            <w:r>
              <w:rPr>
                <w:sz w:val="20"/>
              </w:rPr>
              <w:t>0.0%</w:t>
            </w:r>
          </w:p>
        </w:tc>
        <w:tc>
          <w:tcPr>
            <w:tcW w:type="dxa" w:w="2160"/>
          </w:tcPr>
          <w:p>
            <w:pPr>
              <w:spacing w:after="20"/>
            </w:pPr>
            <w:r/>
            <w:r>
              <w:rPr>
                <w:sz w:val="20"/>
              </w:rPr>
              <w:t>1.000</w:t>
            </w:r>
          </w:p>
        </w:tc>
        <w:tc>
          <w:tcPr>
            <w:tcW w:type="dxa" w:w="1872"/>
          </w:tcPr>
          <w:p>
            <w:pPr>
              <w:spacing w:after="20"/>
            </w:pPr>
            <w:r/>
            <w:r>
              <w:rPr>
                <w:sz w:val="20"/>
              </w:rPr>
              <w:t>1.000</w:t>
            </w:r>
          </w:p>
        </w:tc>
      </w:tr>
      <w:tr>
        <w:tc>
          <w:tcPr>
            <w:tcW w:type="dxa" w:w="1872"/>
          </w:tcPr>
          <w:p>
            <w:pPr>
              <w:spacing w:after="20"/>
            </w:pPr>
            <w:r/>
            <w:r>
              <w:rPr>
                <w:sz w:val="20"/>
              </w:rPr>
              <w:t>Reconnaissance</w:t>
            </w:r>
          </w:p>
        </w:tc>
        <w:tc>
          <w:tcPr>
            <w:tcW w:type="dxa" w:w="1152"/>
          </w:tcPr>
          <w:p>
            <w:pPr>
              <w:spacing w:after="20"/>
            </w:pPr>
            <w:r/>
            <w:r>
              <w:rPr>
                <w:sz w:val="20"/>
              </w:rPr>
              <w:t>1,740</w:t>
            </w:r>
          </w:p>
        </w:tc>
        <w:tc>
          <w:tcPr>
            <w:tcW w:type="dxa" w:w="2448"/>
          </w:tcPr>
          <w:p>
            <w:pPr>
              <w:spacing w:after="20"/>
            </w:pPr>
            <w:r/>
            <w:r>
              <w:rPr>
                <w:sz w:val="20"/>
              </w:rPr>
              <w:t>0.9%</w:t>
            </w:r>
          </w:p>
        </w:tc>
        <w:tc>
          <w:tcPr>
            <w:tcW w:type="dxa" w:w="2160"/>
          </w:tcPr>
          <w:p>
            <w:pPr>
              <w:spacing w:after="20"/>
            </w:pPr>
            <w:r/>
            <w:r>
              <w:rPr>
                <w:sz w:val="20"/>
              </w:rPr>
              <w:t>0.995</w:t>
            </w:r>
          </w:p>
        </w:tc>
        <w:tc>
          <w:tcPr>
            <w:tcW w:type="dxa" w:w="1872"/>
          </w:tcPr>
          <w:p>
            <w:pPr>
              <w:spacing w:after="20"/>
            </w:pPr>
            <w:r/>
            <w:r>
              <w:rPr>
                <w:sz w:val="20"/>
              </w:rPr>
              <w:t>0.995</w:t>
            </w:r>
          </w:p>
        </w:tc>
      </w:tr>
      <w:tr>
        <w:tc>
          <w:tcPr>
            <w:tcW w:type="dxa" w:w="1872"/>
          </w:tcPr>
          <w:p>
            <w:pPr>
              <w:spacing w:after="20"/>
            </w:pPr>
            <w:r/>
            <w:r>
              <w:rPr>
                <w:sz w:val="20"/>
              </w:rPr>
              <w:t>Shellcode</w:t>
            </w:r>
          </w:p>
        </w:tc>
        <w:tc>
          <w:tcPr>
            <w:tcW w:type="dxa" w:w="1152"/>
          </w:tcPr>
          <w:p>
            <w:pPr>
              <w:spacing w:after="20"/>
            </w:pPr>
            <w:r/>
            <w:r>
              <w:rPr>
                <w:sz w:val="20"/>
              </w:rPr>
              <w:t>223</w:t>
            </w:r>
          </w:p>
        </w:tc>
        <w:tc>
          <w:tcPr>
            <w:tcW w:type="dxa" w:w="2448"/>
          </w:tcPr>
          <w:p>
            <w:pPr>
              <w:spacing w:after="20"/>
            </w:pPr>
            <w:r/>
            <w:r>
              <w:rPr>
                <w:sz w:val="20"/>
              </w:rPr>
              <w:t>0.0%</w:t>
            </w:r>
          </w:p>
        </w:tc>
        <w:tc>
          <w:tcPr>
            <w:tcW w:type="dxa" w:w="2160"/>
          </w:tcPr>
          <w:p>
            <w:pPr>
              <w:spacing w:after="20"/>
            </w:pPr>
            <w:r/>
            <w:r>
              <w:rPr>
                <w:sz w:val="20"/>
              </w:rPr>
              <w:t>1.000</w:t>
            </w:r>
          </w:p>
        </w:tc>
        <w:tc>
          <w:tcPr>
            <w:tcW w:type="dxa" w:w="1872"/>
          </w:tcPr>
          <w:p>
            <w:pPr>
              <w:spacing w:after="20"/>
            </w:pPr>
            <w:r/>
            <w:r>
              <w:rPr>
                <w:sz w:val="20"/>
              </w:rPr>
              <w:t>1.000</w:t>
            </w:r>
          </w:p>
        </w:tc>
      </w:tr>
      <w:tr>
        <w:tc>
          <w:tcPr>
            <w:tcW w:type="dxa" w:w="1872"/>
          </w:tcPr>
          <w:p>
            <w:pPr>
              <w:spacing w:after="20"/>
            </w:pPr>
            <w:r/>
            <w:r>
              <w:rPr>
                <w:sz w:val="20"/>
              </w:rPr>
              <w:t>Worms</w:t>
            </w:r>
          </w:p>
        </w:tc>
        <w:tc>
          <w:tcPr>
            <w:tcW w:type="dxa" w:w="1152"/>
          </w:tcPr>
          <w:p>
            <w:pPr>
              <w:spacing w:after="20"/>
            </w:pPr>
            <w:r/>
            <w:r>
              <w:rPr>
                <w:sz w:val="20"/>
              </w:rPr>
              <w:t>24</w:t>
            </w:r>
          </w:p>
        </w:tc>
        <w:tc>
          <w:tcPr>
            <w:tcW w:type="dxa" w:w="2448"/>
          </w:tcPr>
          <w:p>
            <w:pPr>
              <w:spacing w:after="20"/>
            </w:pPr>
            <w:r/>
            <w:r>
              <w:rPr>
                <w:sz w:val="20"/>
              </w:rPr>
              <w:t>0.0%</w:t>
            </w:r>
          </w:p>
        </w:tc>
        <w:tc>
          <w:tcPr>
            <w:tcW w:type="dxa" w:w="2160"/>
          </w:tcPr>
          <w:p>
            <w:pPr>
              <w:spacing w:after="20"/>
            </w:pPr>
            <w:r/>
            <w:r>
              <w:rPr>
                <w:sz w:val="20"/>
              </w:rPr>
              <w:t>1.000</w:t>
            </w:r>
          </w:p>
        </w:tc>
        <w:tc>
          <w:tcPr>
            <w:tcW w:type="dxa" w:w="1872"/>
          </w:tcPr>
          <w:p>
            <w:pPr>
              <w:spacing w:after="20"/>
            </w:pPr>
            <w:r/>
            <w:r>
              <w:rPr>
                <w:sz w:val="20"/>
              </w:rPr>
              <w:t>1.000</w:t>
            </w:r>
          </w:p>
        </w:tc>
      </w:tr>
    </w:tbl>
    <w:p>
      <w:pPr>
        <w:spacing w:after="40"/>
      </w:pPr>
    </w:p>
    <w:p>
      <w:pPr>
        <w:pStyle w:val="ListBullet"/>
        <w:spacing w:after="40"/>
      </w:pPr>
      <w:r>
        <w:t>For Analysis and Backdoor, 81% and 85% of the flows have a twin of another class. A model that sees these features cannot exceed about 0.38 and 0.37 F1 on them (in sample, so an optimistic bound, since it memorises these flows), and our models reach 0.16 to 0.28 and 0.16 to 0.25. The overlap therefore caps what any model can reach, but it leaves a gap of roughly 0.1 to 0.2 between our models and the cap; it does not by itself explain why our models stay near 0.2.</w:t>
      </w:r>
    </w:p>
    <w:p>
      <w:pPr>
        <w:pStyle w:val="ListBullet"/>
        <w:spacing w:after="40"/>
      </w:pPr>
      <w:r>
        <w:t>The raw columns that our preprocessing dropped (state, loss counts, window, TCP sequence numbers, round-trip time, flag columns, source port) do not remove the overlap: with them added, the shares stay at 80.6% (Analysis), 84.5% (Backdoor) and 33.8% (DoS), and class-weighted LightGBM changes from macro F1 0.540 to 0.559 with Analysis F1 about 0.10 and Backdoor F1 0.02 to 0.04 (one seed; notebook unsw-nb15-dropped-features-check).</w:t>
      </w:r>
    </w:p>
    <w:p>
      <w:pPr>
        <w:pStyle w:val="ListBullet"/>
        <w:spacing w:after="40"/>
      </w:pPr>
      <w:r>
        <w:t>The IP addresses do not remove it either: among the 1,445 flows with an identical-feature twin of another class, predicting the most common label of the group is right for 24.0% of them, and 24.7% when the (source IP, destination IP) pair is added to the group.</w:t>
      </w:r>
    </w:p>
    <w:p>
      <w:pPr>
        <w:pStyle w:val="ListBullet"/>
        <w:spacing w:after="40"/>
      </w:pPr>
      <w:r>
        <w:t>A graph has little to work with here (notebook unsw-nb15-host-structure-check). The subset has 40 source and 44 destination IPs, and every attack class comes from 4 sources (Analysis from 2) to at most 10 destinations. A graph on (IP, port) endpoints has 589,428 nodes of which 67% hold a single flow; a graph on IP addresses has 45 nodes with a median of 4,446 flows each. This fits the 0.001 weighted F1 that neighbours added in 6.3.</w:t>
      </w:r>
    </w:p>
    <w:p>
      <w:pPr>
        <w:pStyle w:val="ListBullet"/>
        <w:spacing w:after="40"/>
      </w:pPr>
      <w:r>
        <w:t>Time order does not help: the share of flows whose previous flow from the same source has the same label is 0.3% for Backdoor, 5.1% for DoS and 12.7% for Analysis, against 99.8% for Normal.</w:t>
      </w:r>
    </w:p>
    <w:p>
      <w:pPr>
        <w:pStyle w:val="ListBullet"/>
        <w:spacing w:after="40"/>
      </w:pPr>
      <w:r>
        <w:t>The bound applies to the 45 features of one flow and to this subset. The graph could in principle add information; in our runs it added about 0.001 weighted F1 and did not lift Analysis or Backdoor.</w:t>
      </w:r>
    </w:p>
    <w:p>
      <w:pPr>
        <w:pStyle w:val="ListBullet"/>
        <w:spacing w:after="40"/>
      </w:pPr>
      <w:r>
        <w:t>Worms has only 24 flows in the subset (about 6 in a test set of the paper's size), so its F1 is not a reliable number in any model.</w:t>
      </w:r>
    </w:p>
    <w:p>
      <w:pPr>
        <w:pStyle w:val="Heading2"/>
      </w:pPr>
      <w:r>
        <w:t>6.6 A set of classes instead of one label</w:t>
      </w:r>
    </w:p>
    <w:p>
      <w:r>
        <w:rPr>
          <w:i w:val="0"/>
        </w:rPr>
        <w:t>Since the features cannot name the class of many Analysis, Backdoor and DoS flows, we tested returning a set of possible classes with a stated coverage (class-conditional, or Mondrian, conformal prediction; notebook unsw-nb15-conformal-sets). LightGBM is trained on 85% of the training flows (15% for early stopping); the 127,578 validation flows are the calibration set and the 191,368 test flows are used once. For every class c, the set is built so that a flow of class c has c in its set with probability at least 1 - alpha, calibrated separately for each class.</w:t>
      </w:r>
    </w:p>
    <w:p>
      <w:r>
        <w:rPr>
          <w:i w:val="0"/>
        </w:rPr>
        <w:t>A first design, one set over all 10 classes, reached about the target coverage but is not useful: the mean set size is at least 2.0 for every class, Normal included, and almost no set holds a single class, because each rare class's threshold admits it for many flows. The second design first detects attacks and then forms a set over the 9 attack classes. Stage 1 (class-weighted binary LightGBM) has a threshold that detects each attack class with at least 0.95 probability and raises a false alarm on 0.4% to 0.5% of Normal flows. Stage 2 (class-weighted 9-class LightGBM trained on attack flows) is calibrated on the validation attack flows that stage 1 flags. Worms has 5 calibration flows, too few for a guarantee, so it is excluded from the guarantees. Mean over 3 seeds, test set, given that the flow was detected:</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584"/>
            <w:shd w:val="clear" w:color="auto" w:fill="DCE6F1"/>
          </w:tcPr>
          <w:p>
            <w:pPr>
              <w:spacing w:after="20"/>
            </w:pPr>
            <w:r/>
            <w:r>
              <w:rPr>
                <w:b/>
                <w:sz w:val="20"/>
              </w:rPr>
              <w:t>Class</w:t>
            </w:r>
          </w:p>
        </w:tc>
        <w:tc>
          <w:tcPr>
            <w:tcW w:type="dxa" w:w="864"/>
            <w:shd w:val="clear" w:color="auto" w:fill="DCE6F1"/>
          </w:tcPr>
          <w:p>
            <w:pPr>
              <w:spacing w:after="20"/>
            </w:pPr>
            <w:r/>
            <w:r>
              <w:rPr>
                <w:b/>
                <w:sz w:val="20"/>
              </w:rPr>
              <w:t>Test flows</w:t>
            </w:r>
          </w:p>
        </w:tc>
        <w:tc>
          <w:tcPr>
            <w:tcW w:type="dxa" w:w="1008"/>
            <w:shd w:val="clear" w:color="auto" w:fill="DCE6F1"/>
          </w:tcPr>
          <w:p>
            <w:pPr>
              <w:spacing w:after="20"/>
            </w:pPr>
            <w:r/>
            <w:r>
              <w:rPr>
                <w:b/>
                <w:sz w:val="20"/>
              </w:rPr>
              <w:t>Detected</w:t>
            </w:r>
          </w:p>
        </w:tc>
        <w:tc>
          <w:tcPr>
            <w:tcW w:type="dxa" w:w="1008"/>
            <w:shd w:val="clear" w:color="auto" w:fill="DCE6F1"/>
          </w:tcPr>
          <w:p>
            <w:pPr>
              <w:spacing w:after="20"/>
            </w:pPr>
            <w:r/>
            <w:r>
              <w:rPr>
                <w:b/>
                <w:sz w:val="20"/>
              </w:rPr>
              <w:t>One label (top 1)</w:t>
            </w:r>
          </w:p>
        </w:tc>
        <w:tc>
          <w:tcPr>
            <w:tcW w:type="dxa" w:w="792"/>
            <w:shd w:val="clear" w:color="auto" w:fill="DCE6F1"/>
          </w:tcPr>
          <w:p>
            <w:pPr>
              <w:spacing w:after="20"/>
            </w:pPr>
            <w:r/>
            <w:r>
              <w:rPr>
                <w:b/>
                <w:sz w:val="20"/>
              </w:rPr>
              <w:t>Top 3</w:t>
            </w:r>
          </w:p>
        </w:tc>
        <w:tc>
          <w:tcPr>
            <w:tcW w:type="dxa" w:w="1008"/>
            <w:shd w:val="clear" w:color="auto" w:fill="DCE6F1"/>
          </w:tcPr>
          <w:p>
            <w:pPr>
              <w:spacing w:after="20"/>
            </w:pPr>
            <w:r/>
            <w:r>
              <w:rPr>
                <w:b/>
                <w:sz w:val="20"/>
              </w:rPr>
              <w:t>Set size, alpha 0.10</w:t>
            </w:r>
          </w:p>
        </w:tc>
        <w:tc>
          <w:tcPr>
            <w:tcW w:type="dxa" w:w="1080"/>
            <w:shd w:val="clear" w:color="auto" w:fill="DCE6F1"/>
          </w:tcPr>
          <w:p>
            <w:pPr>
              <w:spacing w:after="20"/>
            </w:pPr>
            <w:r/>
            <w:r>
              <w:rPr>
                <w:b/>
                <w:sz w:val="20"/>
              </w:rPr>
              <w:t>Coverage, alpha 0.10</w:t>
            </w:r>
          </w:p>
        </w:tc>
        <w:tc>
          <w:tcPr>
            <w:tcW w:type="dxa" w:w="1008"/>
            <w:shd w:val="clear" w:color="auto" w:fill="DCE6F1"/>
          </w:tcPr>
          <w:p>
            <w:pPr>
              <w:spacing w:after="20"/>
            </w:pPr>
            <w:r/>
            <w:r>
              <w:rPr>
                <w:b/>
                <w:sz w:val="20"/>
              </w:rPr>
              <w:t>Set size, alpha 0.05</w:t>
            </w:r>
          </w:p>
        </w:tc>
        <w:tc>
          <w:tcPr>
            <w:tcW w:type="dxa" w:w="1080"/>
            <w:shd w:val="clear" w:color="auto" w:fill="DCE6F1"/>
          </w:tcPr>
          <w:p>
            <w:pPr>
              <w:spacing w:after="20"/>
            </w:pPr>
            <w:r/>
            <w:r>
              <w:rPr>
                <w:b/>
                <w:sz w:val="20"/>
              </w:rPr>
              <w:t>Coverage, alpha 0.05</w:t>
            </w:r>
          </w:p>
        </w:tc>
      </w:tr>
      <w:tr>
        <w:tc>
          <w:tcPr>
            <w:tcW w:type="dxa" w:w="1584"/>
          </w:tcPr>
          <w:p>
            <w:pPr>
              <w:spacing w:after="20"/>
            </w:pPr>
            <w:r/>
            <w:r>
              <w:rPr>
                <w:sz w:val="20"/>
              </w:rPr>
              <w:t>Analysis</w:t>
            </w:r>
          </w:p>
        </w:tc>
        <w:tc>
          <w:tcPr>
            <w:tcW w:type="dxa" w:w="864"/>
          </w:tcPr>
          <w:p>
            <w:pPr>
              <w:spacing w:after="20"/>
            </w:pPr>
            <w:r/>
            <w:r>
              <w:rPr>
                <w:sz w:val="20"/>
              </w:rPr>
              <w:t>89</w:t>
            </w:r>
          </w:p>
        </w:tc>
        <w:tc>
          <w:tcPr>
            <w:tcW w:type="dxa" w:w="1008"/>
          </w:tcPr>
          <w:p>
            <w:pPr>
              <w:spacing w:after="20"/>
            </w:pPr>
            <w:r/>
            <w:r>
              <w:rPr>
                <w:sz w:val="20"/>
              </w:rPr>
              <w:t>0.925</w:t>
            </w:r>
          </w:p>
        </w:tc>
        <w:tc>
          <w:tcPr>
            <w:tcW w:type="dxa" w:w="1008"/>
          </w:tcPr>
          <w:p>
            <w:pPr>
              <w:spacing w:after="20"/>
            </w:pPr>
            <w:r/>
            <w:r>
              <w:rPr>
                <w:sz w:val="20"/>
              </w:rPr>
              <w:t>0.352</w:t>
            </w:r>
          </w:p>
        </w:tc>
        <w:tc>
          <w:tcPr>
            <w:tcW w:type="dxa" w:w="792"/>
          </w:tcPr>
          <w:p>
            <w:pPr>
              <w:spacing w:after="20"/>
            </w:pPr>
            <w:r/>
            <w:r>
              <w:rPr>
                <w:sz w:val="20"/>
              </w:rPr>
              <w:t>0.975</w:t>
            </w:r>
          </w:p>
        </w:tc>
        <w:tc>
          <w:tcPr>
            <w:tcW w:type="dxa" w:w="1008"/>
          </w:tcPr>
          <w:p>
            <w:pPr>
              <w:spacing w:after="20"/>
            </w:pPr>
            <w:r/>
            <w:r>
              <w:rPr>
                <w:sz w:val="20"/>
              </w:rPr>
              <w:t>2.63</w:t>
            </w:r>
          </w:p>
        </w:tc>
        <w:tc>
          <w:tcPr>
            <w:tcW w:type="dxa" w:w="1080"/>
          </w:tcPr>
          <w:p>
            <w:pPr>
              <w:spacing w:after="20"/>
            </w:pPr>
            <w:r/>
            <w:r>
              <w:rPr>
                <w:sz w:val="20"/>
              </w:rPr>
              <w:t>0.887</w:t>
            </w:r>
          </w:p>
        </w:tc>
        <w:tc>
          <w:tcPr>
            <w:tcW w:type="dxa" w:w="1008"/>
          </w:tcPr>
          <w:p>
            <w:pPr>
              <w:spacing w:after="20"/>
            </w:pPr>
            <w:r/>
            <w:r>
              <w:rPr>
                <w:sz w:val="20"/>
              </w:rPr>
              <w:t>3.54</w:t>
            </w:r>
          </w:p>
        </w:tc>
        <w:tc>
          <w:tcPr>
            <w:tcW w:type="dxa" w:w="1080"/>
          </w:tcPr>
          <w:p>
            <w:pPr>
              <w:spacing w:after="20"/>
            </w:pPr>
            <w:r/>
            <w:r>
              <w:rPr>
                <w:sz w:val="20"/>
              </w:rPr>
              <w:t>0.947</w:t>
            </w:r>
          </w:p>
        </w:tc>
      </w:tr>
      <w:tr>
        <w:tc>
          <w:tcPr>
            <w:tcW w:type="dxa" w:w="1584"/>
          </w:tcPr>
          <w:p>
            <w:pPr>
              <w:spacing w:after="20"/>
            </w:pPr>
            <w:r/>
            <w:r>
              <w:rPr>
                <w:sz w:val="20"/>
              </w:rPr>
              <w:t>Backdoor</w:t>
            </w:r>
          </w:p>
        </w:tc>
        <w:tc>
          <w:tcPr>
            <w:tcW w:type="dxa" w:w="864"/>
          </w:tcPr>
          <w:p>
            <w:pPr>
              <w:spacing w:after="20"/>
            </w:pPr>
            <w:r/>
            <w:r>
              <w:rPr>
                <w:sz w:val="20"/>
              </w:rPr>
              <w:t>89</w:t>
            </w:r>
          </w:p>
        </w:tc>
        <w:tc>
          <w:tcPr>
            <w:tcW w:type="dxa" w:w="1008"/>
          </w:tcPr>
          <w:p>
            <w:pPr>
              <w:spacing w:after="20"/>
            </w:pPr>
            <w:r/>
            <w:r>
              <w:rPr>
                <w:sz w:val="20"/>
              </w:rPr>
              <w:t>0.993</w:t>
            </w:r>
          </w:p>
        </w:tc>
        <w:tc>
          <w:tcPr>
            <w:tcW w:type="dxa" w:w="1008"/>
          </w:tcPr>
          <w:p>
            <w:pPr>
              <w:spacing w:after="20"/>
            </w:pPr>
            <w:r/>
            <w:r>
              <w:rPr>
                <w:sz w:val="20"/>
              </w:rPr>
              <w:t>0.200</w:t>
            </w:r>
          </w:p>
        </w:tc>
        <w:tc>
          <w:tcPr>
            <w:tcW w:type="dxa" w:w="792"/>
          </w:tcPr>
          <w:p>
            <w:pPr>
              <w:spacing w:after="20"/>
            </w:pPr>
            <w:r/>
            <w:r>
              <w:rPr>
                <w:sz w:val="20"/>
              </w:rPr>
              <w:t>0.860</w:t>
            </w:r>
          </w:p>
        </w:tc>
        <w:tc>
          <w:tcPr>
            <w:tcW w:type="dxa" w:w="1008"/>
          </w:tcPr>
          <w:p>
            <w:pPr>
              <w:spacing w:after="20"/>
            </w:pPr>
            <w:r/>
            <w:r>
              <w:rPr>
                <w:sz w:val="20"/>
              </w:rPr>
              <w:t>2.69</w:t>
            </w:r>
          </w:p>
        </w:tc>
        <w:tc>
          <w:tcPr>
            <w:tcW w:type="dxa" w:w="1080"/>
          </w:tcPr>
          <w:p>
            <w:pPr>
              <w:spacing w:after="20"/>
            </w:pPr>
            <w:r/>
            <w:r>
              <w:rPr>
                <w:sz w:val="20"/>
              </w:rPr>
              <w:t>0.830</w:t>
            </w:r>
          </w:p>
        </w:tc>
        <w:tc>
          <w:tcPr>
            <w:tcW w:type="dxa" w:w="1008"/>
          </w:tcPr>
          <w:p>
            <w:pPr>
              <w:spacing w:after="20"/>
            </w:pPr>
            <w:r/>
            <w:r>
              <w:rPr>
                <w:sz w:val="20"/>
              </w:rPr>
              <w:t>3.55</w:t>
            </w:r>
          </w:p>
        </w:tc>
        <w:tc>
          <w:tcPr>
            <w:tcW w:type="dxa" w:w="1080"/>
          </w:tcPr>
          <w:p>
            <w:pPr>
              <w:spacing w:after="20"/>
            </w:pPr>
            <w:r/>
            <w:r>
              <w:rPr>
                <w:sz w:val="20"/>
              </w:rPr>
              <w:t>0.879</w:t>
            </w:r>
          </w:p>
        </w:tc>
      </w:tr>
      <w:tr>
        <w:tc>
          <w:tcPr>
            <w:tcW w:type="dxa" w:w="1584"/>
          </w:tcPr>
          <w:p>
            <w:pPr>
              <w:spacing w:after="20"/>
            </w:pPr>
            <w:r/>
            <w:r>
              <w:rPr>
                <w:sz w:val="20"/>
              </w:rPr>
              <w:t>DoS</w:t>
            </w:r>
          </w:p>
        </w:tc>
        <w:tc>
          <w:tcPr>
            <w:tcW w:type="dxa" w:w="864"/>
          </w:tcPr>
          <w:p>
            <w:pPr>
              <w:spacing w:after="20"/>
            </w:pPr>
            <w:r/>
            <w:r>
              <w:rPr>
                <w:sz w:val="20"/>
              </w:rPr>
              <w:t>247</w:t>
            </w:r>
          </w:p>
        </w:tc>
        <w:tc>
          <w:tcPr>
            <w:tcW w:type="dxa" w:w="1008"/>
          </w:tcPr>
          <w:p>
            <w:pPr>
              <w:spacing w:after="20"/>
            </w:pPr>
            <w:r/>
            <w:r>
              <w:rPr>
                <w:sz w:val="20"/>
              </w:rPr>
              <w:t>0.989</w:t>
            </w:r>
          </w:p>
        </w:tc>
        <w:tc>
          <w:tcPr>
            <w:tcW w:type="dxa" w:w="1008"/>
          </w:tcPr>
          <w:p>
            <w:pPr>
              <w:spacing w:after="20"/>
            </w:pPr>
            <w:r/>
            <w:r>
              <w:rPr>
                <w:sz w:val="20"/>
              </w:rPr>
              <w:t>0.248</w:t>
            </w:r>
          </w:p>
        </w:tc>
        <w:tc>
          <w:tcPr>
            <w:tcW w:type="dxa" w:w="792"/>
          </w:tcPr>
          <w:p>
            <w:pPr>
              <w:spacing w:after="20"/>
            </w:pPr>
            <w:r/>
            <w:r>
              <w:rPr>
                <w:sz w:val="20"/>
              </w:rPr>
              <w:t>0.981</w:t>
            </w:r>
          </w:p>
        </w:tc>
        <w:tc>
          <w:tcPr>
            <w:tcW w:type="dxa" w:w="1008"/>
          </w:tcPr>
          <w:p>
            <w:pPr>
              <w:spacing w:after="20"/>
            </w:pPr>
            <w:r/>
            <w:r>
              <w:rPr>
                <w:sz w:val="20"/>
              </w:rPr>
              <w:t>2.28</w:t>
            </w:r>
          </w:p>
        </w:tc>
        <w:tc>
          <w:tcPr>
            <w:tcW w:type="dxa" w:w="1080"/>
          </w:tcPr>
          <w:p>
            <w:pPr>
              <w:spacing w:after="20"/>
            </w:pPr>
            <w:r/>
            <w:r>
              <w:rPr>
                <w:sz w:val="20"/>
              </w:rPr>
              <w:t>0.916</w:t>
            </w:r>
          </w:p>
        </w:tc>
        <w:tc>
          <w:tcPr>
            <w:tcW w:type="dxa" w:w="1008"/>
          </w:tcPr>
          <w:p>
            <w:pPr>
              <w:spacing w:after="20"/>
            </w:pPr>
            <w:r/>
            <w:r>
              <w:rPr>
                <w:sz w:val="20"/>
              </w:rPr>
              <w:t>2.90</w:t>
            </w:r>
          </w:p>
        </w:tc>
        <w:tc>
          <w:tcPr>
            <w:tcW w:type="dxa" w:w="1080"/>
          </w:tcPr>
          <w:p>
            <w:pPr>
              <w:spacing w:after="20"/>
            </w:pPr>
            <w:r/>
            <w:r>
              <w:rPr>
                <w:sz w:val="20"/>
              </w:rPr>
              <w:t>0.956</w:t>
            </w:r>
          </w:p>
        </w:tc>
      </w:tr>
      <w:tr>
        <w:tc>
          <w:tcPr>
            <w:tcW w:type="dxa" w:w="1584"/>
          </w:tcPr>
          <w:p>
            <w:pPr>
              <w:spacing w:after="20"/>
            </w:pPr>
            <w:r/>
            <w:r>
              <w:rPr>
                <w:sz w:val="20"/>
              </w:rPr>
              <w:t>Exploits</w:t>
            </w:r>
          </w:p>
        </w:tc>
        <w:tc>
          <w:tcPr>
            <w:tcW w:type="dxa" w:w="864"/>
          </w:tcPr>
          <w:p>
            <w:pPr>
              <w:spacing w:after="20"/>
            </w:pPr>
            <w:r/>
            <w:r>
              <w:rPr>
                <w:sz w:val="20"/>
              </w:rPr>
              <w:t>1,212</w:t>
            </w:r>
          </w:p>
        </w:tc>
        <w:tc>
          <w:tcPr>
            <w:tcW w:type="dxa" w:w="1008"/>
          </w:tcPr>
          <w:p>
            <w:pPr>
              <w:spacing w:after="20"/>
            </w:pPr>
            <w:r/>
            <w:r>
              <w:rPr>
                <w:sz w:val="20"/>
              </w:rPr>
              <w:t>0.999</w:t>
            </w:r>
          </w:p>
        </w:tc>
        <w:tc>
          <w:tcPr>
            <w:tcW w:type="dxa" w:w="1008"/>
          </w:tcPr>
          <w:p>
            <w:pPr>
              <w:spacing w:after="20"/>
            </w:pPr>
            <w:r/>
            <w:r>
              <w:rPr>
                <w:sz w:val="20"/>
              </w:rPr>
              <w:t>0.755</w:t>
            </w:r>
          </w:p>
        </w:tc>
        <w:tc>
          <w:tcPr>
            <w:tcW w:type="dxa" w:w="792"/>
          </w:tcPr>
          <w:p>
            <w:pPr>
              <w:spacing w:after="20"/>
            </w:pPr>
            <w:r/>
            <w:r>
              <w:rPr>
                <w:sz w:val="20"/>
              </w:rPr>
              <w:t>0.919</w:t>
            </w:r>
          </w:p>
        </w:tc>
        <w:tc>
          <w:tcPr>
            <w:tcW w:type="dxa" w:w="1008"/>
          </w:tcPr>
          <w:p>
            <w:pPr>
              <w:spacing w:after="20"/>
            </w:pPr>
            <w:r/>
            <w:r>
              <w:rPr>
                <w:sz w:val="20"/>
              </w:rPr>
              <w:t>1.85</w:t>
            </w:r>
          </w:p>
        </w:tc>
        <w:tc>
          <w:tcPr>
            <w:tcW w:type="dxa" w:w="1080"/>
          </w:tcPr>
          <w:p>
            <w:pPr>
              <w:spacing w:after="20"/>
            </w:pPr>
            <w:r/>
            <w:r>
              <w:rPr>
                <w:sz w:val="20"/>
              </w:rPr>
              <w:t>0.883</w:t>
            </w:r>
          </w:p>
        </w:tc>
        <w:tc>
          <w:tcPr>
            <w:tcW w:type="dxa" w:w="1008"/>
          </w:tcPr>
          <w:p>
            <w:pPr>
              <w:spacing w:after="20"/>
            </w:pPr>
            <w:r/>
            <w:r>
              <w:rPr>
                <w:sz w:val="20"/>
              </w:rPr>
              <w:t>2.30</w:t>
            </w:r>
          </w:p>
        </w:tc>
        <w:tc>
          <w:tcPr>
            <w:tcW w:type="dxa" w:w="1080"/>
          </w:tcPr>
          <w:p>
            <w:pPr>
              <w:spacing w:after="20"/>
            </w:pPr>
            <w:r/>
            <w:r>
              <w:rPr>
                <w:sz w:val="20"/>
              </w:rPr>
              <w:t>0.939</w:t>
            </w:r>
          </w:p>
        </w:tc>
      </w:tr>
      <w:tr>
        <w:tc>
          <w:tcPr>
            <w:tcW w:type="dxa" w:w="1584"/>
          </w:tcPr>
          <w:p>
            <w:pPr>
              <w:spacing w:after="20"/>
            </w:pPr>
            <w:r/>
            <w:r>
              <w:rPr>
                <w:sz w:val="20"/>
              </w:rPr>
              <w:t>Fuzzers</w:t>
            </w:r>
          </w:p>
        </w:tc>
        <w:tc>
          <w:tcPr>
            <w:tcW w:type="dxa" w:w="864"/>
          </w:tcPr>
          <w:p>
            <w:pPr>
              <w:spacing w:after="20"/>
            </w:pPr>
            <w:r/>
            <w:r>
              <w:rPr>
                <w:sz w:val="20"/>
              </w:rPr>
              <w:t>1,197</w:t>
            </w:r>
          </w:p>
        </w:tc>
        <w:tc>
          <w:tcPr>
            <w:tcW w:type="dxa" w:w="1008"/>
          </w:tcPr>
          <w:p>
            <w:pPr>
              <w:spacing w:after="20"/>
            </w:pPr>
            <w:r/>
            <w:r>
              <w:rPr>
                <w:sz w:val="20"/>
              </w:rPr>
              <w:t>0.986</w:t>
            </w:r>
          </w:p>
        </w:tc>
        <w:tc>
          <w:tcPr>
            <w:tcW w:type="dxa" w:w="1008"/>
          </w:tcPr>
          <w:p>
            <w:pPr>
              <w:spacing w:after="20"/>
            </w:pPr>
            <w:r/>
            <w:r>
              <w:rPr>
                <w:sz w:val="20"/>
              </w:rPr>
              <w:t>0.909</w:t>
            </w:r>
          </w:p>
        </w:tc>
        <w:tc>
          <w:tcPr>
            <w:tcW w:type="dxa" w:w="792"/>
          </w:tcPr>
          <w:p>
            <w:pPr>
              <w:spacing w:after="20"/>
            </w:pPr>
            <w:r/>
            <w:r>
              <w:rPr>
                <w:sz w:val="20"/>
              </w:rPr>
              <w:t>0.921</w:t>
            </w:r>
          </w:p>
        </w:tc>
        <w:tc>
          <w:tcPr>
            <w:tcW w:type="dxa" w:w="1008"/>
          </w:tcPr>
          <w:p>
            <w:pPr>
              <w:spacing w:after="20"/>
            </w:pPr>
            <w:r/>
            <w:r>
              <w:rPr>
                <w:sz w:val="20"/>
              </w:rPr>
              <w:t>1.19</w:t>
            </w:r>
          </w:p>
        </w:tc>
        <w:tc>
          <w:tcPr>
            <w:tcW w:type="dxa" w:w="1080"/>
          </w:tcPr>
          <w:p>
            <w:pPr>
              <w:spacing w:after="20"/>
            </w:pPr>
            <w:r/>
            <w:r>
              <w:rPr>
                <w:sz w:val="20"/>
              </w:rPr>
              <w:t>0.909</w:t>
            </w:r>
          </w:p>
        </w:tc>
        <w:tc>
          <w:tcPr>
            <w:tcW w:type="dxa" w:w="1008"/>
          </w:tcPr>
          <w:p>
            <w:pPr>
              <w:spacing w:after="20"/>
            </w:pPr>
            <w:r/>
            <w:r>
              <w:rPr>
                <w:sz w:val="20"/>
              </w:rPr>
              <w:t>1.36</w:t>
            </w:r>
          </w:p>
        </w:tc>
        <w:tc>
          <w:tcPr>
            <w:tcW w:type="dxa" w:w="1080"/>
          </w:tcPr>
          <w:p>
            <w:pPr>
              <w:spacing w:after="20"/>
            </w:pPr>
            <w:r/>
            <w:r>
              <w:rPr>
                <w:sz w:val="20"/>
              </w:rPr>
              <w:t>0.940</w:t>
            </w:r>
          </w:p>
        </w:tc>
      </w:tr>
      <w:tr>
        <w:tc>
          <w:tcPr>
            <w:tcW w:type="dxa" w:w="1584"/>
          </w:tcPr>
          <w:p>
            <w:pPr>
              <w:spacing w:after="20"/>
            </w:pPr>
            <w:r/>
            <w:r>
              <w:rPr>
                <w:sz w:val="20"/>
              </w:rPr>
              <w:t>Generic</w:t>
            </w:r>
          </w:p>
        </w:tc>
        <w:tc>
          <w:tcPr>
            <w:tcW w:type="dxa" w:w="864"/>
          </w:tcPr>
          <w:p>
            <w:pPr>
              <w:spacing w:after="20"/>
            </w:pPr>
            <w:r/>
            <w:r>
              <w:rPr>
                <w:sz w:val="20"/>
              </w:rPr>
              <w:t>592</w:t>
            </w:r>
          </w:p>
        </w:tc>
        <w:tc>
          <w:tcPr>
            <w:tcW w:type="dxa" w:w="1008"/>
          </w:tcPr>
          <w:p>
            <w:pPr>
              <w:spacing w:after="20"/>
            </w:pPr>
            <w:r/>
            <w:r>
              <w:rPr>
                <w:sz w:val="20"/>
              </w:rPr>
              <w:t>1.000</w:t>
            </w:r>
          </w:p>
        </w:tc>
        <w:tc>
          <w:tcPr>
            <w:tcW w:type="dxa" w:w="1008"/>
          </w:tcPr>
          <w:p>
            <w:pPr>
              <w:spacing w:after="20"/>
            </w:pPr>
            <w:r/>
            <w:r>
              <w:rPr>
                <w:sz w:val="20"/>
              </w:rPr>
              <w:t>0.863</w:t>
            </w:r>
          </w:p>
        </w:tc>
        <w:tc>
          <w:tcPr>
            <w:tcW w:type="dxa" w:w="792"/>
          </w:tcPr>
          <w:p>
            <w:pPr>
              <w:spacing w:after="20"/>
            </w:pPr>
            <w:r/>
            <w:r>
              <w:rPr>
                <w:sz w:val="20"/>
              </w:rPr>
              <w:t>0.965</w:t>
            </w:r>
          </w:p>
        </w:tc>
        <w:tc>
          <w:tcPr>
            <w:tcW w:type="dxa" w:w="1008"/>
          </w:tcPr>
          <w:p>
            <w:pPr>
              <w:spacing w:after="20"/>
            </w:pPr>
            <w:r/>
            <w:r>
              <w:rPr>
                <w:sz w:val="20"/>
              </w:rPr>
              <w:t>1.30</w:t>
            </w:r>
          </w:p>
        </w:tc>
        <w:tc>
          <w:tcPr>
            <w:tcW w:type="dxa" w:w="1080"/>
          </w:tcPr>
          <w:p>
            <w:pPr>
              <w:spacing w:after="20"/>
            </w:pPr>
            <w:r/>
            <w:r>
              <w:rPr>
                <w:sz w:val="20"/>
              </w:rPr>
              <w:t>0.892</w:t>
            </w:r>
          </w:p>
        </w:tc>
        <w:tc>
          <w:tcPr>
            <w:tcW w:type="dxa" w:w="1008"/>
          </w:tcPr>
          <w:p>
            <w:pPr>
              <w:spacing w:after="20"/>
            </w:pPr>
            <w:r/>
            <w:r>
              <w:rPr>
                <w:sz w:val="20"/>
              </w:rPr>
              <w:t>1.53</w:t>
            </w:r>
          </w:p>
        </w:tc>
        <w:tc>
          <w:tcPr>
            <w:tcW w:type="dxa" w:w="1080"/>
          </w:tcPr>
          <w:p>
            <w:pPr>
              <w:spacing w:after="20"/>
            </w:pPr>
            <w:r/>
            <w:r>
              <w:rPr>
                <w:sz w:val="20"/>
              </w:rPr>
              <w:t>0.962</w:t>
            </w:r>
          </w:p>
        </w:tc>
      </w:tr>
      <w:tr>
        <w:tc>
          <w:tcPr>
            <w:tcW w:type="dxa" w:w="1584"/>
          </w:tcPr>
          <w:p>
            <w:pPr>
              <w:spacing w:after="20"/>
            </w:pPr>
            <w:r/>
            <w:r>
              <w:rPr>
                <w:sz w:val="20"/>
              </w:rPr>
              <w:t>Reconnaissance</w:t>
            </w:r>
          </w:p>
        </w:tc>
        <w:tc>
          <w:tcPr>
            <w:tcW w:type="dxa" w:w="864"/>
          </w:tcPr>
          <w:p>
            <w:pPr>
              <w:spacing w:after="20"/>
            </w:pPr>
            <w:r/>
            <w:r>
              <w:rPr>
                <w:sz w:val="20"/>
              </w:rPr>
              <w:t>522</w:t>
            </w:r>
          </w:p>
        </w:tc>
        <w:tc>
          <w:tcPr>
            <w:tcW w:type="dxa" w:w="1008"/>
          </w:tcPr>
          <w:p>
            <w:pPr>
              <w:spacing w:after="20"/>
            </w:pPr>
            <w:r/>
            <w:r>
              <w:rPr>
                <w:sz w:val="20"/>
              </w:rPr>
              <w:t>0.999</w:t>
            </w:r>
          </w:p>
        </w:tc>
        <w:tc>
          <w:tcPr>
            <w:tcW w:type="dxa" w:w="1008"/>
          </w:tcPr>
          <w:p>
            <w:pPr>
              <w:spacing w:after="20"/>
            </w:pPr>
            <w:r/>
            <w:r>
              <w:rPr>
                <w:sz w:val="20"/>
              </w:rPr>
              <w:t>0.921</w:t>
            </w:r>
          </w:p>
        </w:tc>
        <w:tc>
          <w:tcPr>
            <w:tcW w:type="dxa" w:w="792"/>
          </w:tcPr>
          <w:p>
            <w:pPr>
              <w:spacing w:after="20"/>
            </w:pPr>
            <w:r/>
            <w:r>
              <w:rPr>
                <w:sz w:val="20"/>
              </w:rPr>
              <w:t>0.986</w:t>
            </w:r>
          </w:p>
        </w:tc>
        <w:tc>
          <w:tcPr>
            <w:tcW w:type="dxa" w:w="1008"/>
          </w:tcPr>
          <w:p>
            <w:pPr>
              <w:spacing w:after="20"/>
            </w:pPr>
            <w:r/>
            <w:r>
              <w:rPr>
                <w:sz w:val="20"/>
              </w:rPr>
              <w:t>1.20</w:t>
            </w:r>
          </w:p>
        </w:tc>
        <w:tc>
          <w:tcPr>
            <w:tcW w:type="dxa" w:w="1080"/>
          </w:tcPr>
          <w:p>
            <w:pPr>
              <w:spacing w:after="20"/>
            </w:pPr>
            <w:r/>
            <w:r>
              <w:rPr>
                <w:sz w:val="20"/>
              </w:rPr>
              <w:t>0.921</w:t>
            </w:r>
          </w:p>
        </w:tc>
        <w:tc>
          <w:tcPr>
            <w:tcW w:type="dxa" w:w="1008"/>
          </w:tcPr>
          <w:p>
            <w:pPr>
              <w:spacing w:after="20"/>
            </w:pPr>
            <w:r/>
            <w:r>
              <w:rPr>
                <w:sz w:val="20"/>
              </w:rPr>
              <w:t>1.37</w:t>
            </w:r>
          </w:p>
        </w:tc>
        <w:tc>
          <w:tcPr>
            <w:tcW w:type="dxa" w:w="1080"/>
          </w:tcPr>
          <w:p>
            <w:pPr>
              <w:spacing w:after="20"/>
            </w:pPr>
            <w:r/>
            <w:r>
              <w:rPr>
                <w:sz w:val="20"/>
              </w:rPr>
              <w:t>0.957</w:t>
            </w:r>
          </w:p>
        </w:tc>
      </w:tr>
      <w:tr>
        <w:tc>
          <w:tcPr>
            <w:tcW w:type="dxa" w:w="1584"/>
          </w:tcPr>
          <w:p>
            <w:pPr>
              <w:spacing w:after="20"/>
            </w:pPr>
            <w:r/>
            <w:r>
              <w:rPr>
                <w:sz w:val="20"/>
              </w:rPr>
              <w:t>Shellcode</w:t>
            </w:r>
          </w:p>
        </w:tc>
        <w:tc>
          <w:tcPr>
            <w:tcW w:type="dxa" w:w="864"/>
          </w:tcPr>
          <w:p>
            <w:pPr>
              <w:spacing w:after="20"/>
            </w:pPr>
            <w:r/>
            <w:r>
              <w:rPr>
                <w:sz w:val="20"/>
              </w:rPr>
              <w:t>67</w:t>
            </w:r>
          </w:p>
        </w:tc>
        <w:tc>
          <w:tcPr>
            <w:tcW w:type="dxa" w:w="1008"/>
          </w:tcPr>
          <w:p>
            <w:pPr>
              <w:spacing w:after="20"/>
            </w:pPr>
            <w:r/>
            <w:r>
              <w:rPr>
                <w:sz w:val="20"/>
              </w:rPr>
              <w:t>1.000</w:t>
            </w:r>
          </w:p>
        </w:tc>
        <w:tc>
          <w:tcPr>
            <w:tcW w:type="dxa" w:w="1008"/>
          </w:tcPr>
          <w:p>
            <w:pPr>
              <w:spacing w:after="20"/>
            </w:pPr>
            <w:r/>
            <w:r>
              <w:rPr>
                <w:sz w:val="20"/>
              </w:rPr>
              <w:t>0.915</w:t>
            </w:r>
          </w:p>
        </w:tc>
        <w:tc>
          <w:tcPr>
            <w:tcW w:type="dxa" w:w="792"/>
          </w:tcPr>
          <w:p>
            <w:pPr>
              <w:spacing w:after="20"/>
            </w:pPr>
            <w:r/>
            <w:r>
              <w:rPr>
                <w:sz w:val="20"/>
              </w:rPr>
              <w:t>0.950</w:t>
            </w:r>
          </w:p>
        </w:tc>
        <w:tc>
          <w:tcPr>
            <w:tcW w:type="dxa" w:w="1008"/>
          </w:tcPr>
          <w:p>
            <w:pPr>
              <w:spacing w:after="20"/>
            </w:pPr>
            <w:r/>
            <w:r>
              <w:rPr>
                <w:sz w:val="20"/>
              </w:rPr>
              <w:t>1.12</w:t>
            </w:r>
          </w:p>
        </w:tc>
        <w:tc>
          <w:tcPr>
            <w:tcW w:type="dxa" w:w="1080"/>
          </w:tcPr>
          <w:p>
            <w:pPr>
              <w:spacing w:after="20"/>
            </w:pPr>
            <w:r/>
            <w:r>
              <w:rPr>
                <w:sz w:val="20"/>
              </w:rPr>
              <w:t>0.915</w:t>
            </w:r>
          </w:p>
        </w:tc>
        <w:tc>
          <w:tcPr>
            <w:tcW w:type="dxa" w:w="1008"/>
          </w:tcPr>
          <w:p>
            <w:pPr>
              <w:spacing w:after="20"/>
            </w:pPr>
            <w:r/>
            <w:r>
              <w:rPr>
                <w:sz w:val="20"/>
              </w:rPr>
              <w:t>1.38</w:t>
            </w:r>
          </w:p>
        </w:tc>
        <w:tc>
          <w:tcPr>
            <w:tcW w:type="dxa" w:w="1080"/>
          </w:tcPr>
          <w:p>
            <w:pPr>
              <w:spacing w:after="20"/>
            </w:pPr>
            <w:r/>
            <w:r>
              <w:rPr>
                <w:sz w:val="20"/>
              </w:rPr>
              <w:t>0.920</w:t>
            </w:r>
          </w:p>
        </w:tc>
      </w:tr>
    </w:tbl>
    <w:p>
      <w:pPr>
        <w:spacing w:after="40"/>
      </w:pPr>
    </w:p>
    <w:p>
      <w:pPr>
        <w:jc w:val="center"/>
      </w:pPr>
      <w:r>
        <w:drawing>
          <wp:inline xmlns:a="http://schemas.openxmlformats.org/drawingml/2006/main" xmlns:pic="http://schemas.openxmlformats.org/drawingml/2006/picture">
            <wp:extent cx="5852160" cy="1375914"/>
            <wp:docPr id="4" name="Picture 4"/>
            <wp:cNvGraphicFramePr>
              <a:graphicFrameLocks noChangeAspect="1"/>
            </wp:cNvGraphicFramePr>
            <a:graphic>
              <a:graphicData uri="http://schemas.openxmlformats.org/drawingml/2006/picture">
                <pic:pic>
                  <pic:nvPicPr>
                    <pic:cNvPr id="0" name="fig_03.png"/>
                    <pic:cNvPicPr/>
                  </pic:nvPicPr>
                  <pic:blipFill>
                    <a:blip r:embed="rId12"/>
                    <a:stretch>
                      <a:fillRect/>
                    </a:stretch>
                  </pic:blipFill>
                  <pic:spPr>
                    <a:xfrm>
                      <a:off x="0" y="0"/>
                      <a:ext cx="5852160" cy="1375914"/>
                    </a:xfrm>
                    <a:prstGeom prst="rect"/>
                  </pic:spPr>
                </pic:pic>
              </a:graphicData>
            </a:graphic>
          </wp:inline>
        </w:drawing>
      </w:r>
    </w:p>
    <w:p>
      <w:pPr>
        <w:jc w:val="center"/>
      </w:pPr>
      <w:r>
        <w:rPr>
          <w:i/>
          <w:sz w:val="19"/>
        </w:rPr>
        <w:t>Figure 4. Design 2: end-to-end coverage (flagged and class in the set), mean set size and share of flows flagged as attacks, by class (mean and standard deviation over 3 seeds).</w:t>
      </w:r>
    </w:p>
    <w:p>
      <w:r>
        <w:rPr>
          <w:i w:val="0"/>
        </w:rPr>
        <w:t>'One label (top 1)' and 'Top 3' are the shares of detected flows whose true class is the most probable class, or among the three most probable, of the 9 attack classes.</w:t>
      </w:r>
    </w:p>
    <w:p>
      <w:pPr>
        <w:pStyle w:val="ListBullet"/>
        <w:spacing w:after="40"/>
      </w:pPr>
      <w:r>
        <w:t>For Analysis, Backdoor and DoS, a single label is right for 20% to 35% of detected flows, while a set of about 2.3 to 2.7 attack classes holds the true class for 83% to 92% of them at alpha 0.10, and the three most probable classes hold it for 86% to 98%. For Fuzzers, Generic, Reconnaissance and Shellcode the sets are almost always one or two classes.</w:t>
      </w:r>
    </w:p>
    <w:p>
      <w:pPr>
        <w:pStyle w:val="ListBullet"/>
        <w:spacing w:after="40"/>
      </w:pPr>
      <w:r>
        <w:t>The sets are not more efficient than a fixed top-k. For Analysis, a set of 2.63 classes covers 0.887, which is what interpolating between top 2 (0.736) and top 3 (0.975) gives. They add an adaptive size and a coverage statement, not information that the features lack.</w:t>
      </w:r>
    </w:p>
    <w:p>
      <w:pPr>
        <w:pStyle w:val="ListBullet"/>
        <w:spacing w:after="40"/>
      </w:pPr>
      <w:r>
        <w:t>Coverage is close to the target but not guaranteed on a finite test set. Backdoor is lowest (0.830 against 0.90 at alpha 0.10; 0.879 against 0.95 at alpha 0.05); its calibration set has 59 flows and its test set 89, so realised coverage is uncertain by several points. Analysis is detected for 92.5% of its flows against a target of 95%, again within the sampling error of 89 flows.</w:t>
      </w:r>
    </w:p>
    <w:p>
      <w:pPr>
        <w:pStyle w:val="Heading1"/>
      </w:pPr>
      <w:r>
        <w:t>7. What the comparison shows</w:t>
      </w:r>
    </w:p>
    <w:p>
      <w:pPr>
        <w:pStyle w:val="ListBullet"/>
        <w:spacing w:after="40"/>
      </w:pPr>
      <w:r>
        <w:rPr>
          <w:b/>
        </w:rPr>
        <w:t xml:space="preserve">Our weighted F1 is above the paper's, but the paper's number is not a useful target. </w:t>
      </w:r>
      <w:r>
        <w:t>On the paper's own data our baseline scores 0.993, and a model that predicts Normal for every flow would score 0.953 on the paper's class mix, above the paper's GTCN-G score (0.9512). We do not read our higher numbers as a better model.</w:t>
      </w:r>
    </w:p>
    <w:p>
      <w:pPr>
        <w:pStyle w:val="ListBullet"/>
        <w:spacing w:after="40"/>
      </w:pPr>
      <w:r>
        <w:rPr>
          <w:b/>
        </w:rPr>
        <w:t xml:space="preserve">A graph-free model matches the graph models. </w:t>
      </w:r>
      <w:r>
        <w:t>On all our data LightGBM with class weights (0.9815) and the improved GNN with the graph (0.9804) score alike, and on the paper's data the GTCN-G style model is no better than the simple network. The paper has no tree baseline and no no-graph network, so it does not show how much its graph adds.</w:t>
      </w:r>
    </w:p>
    <w:p>
      <w:pPr>
        <w:pStyle w:val="ListBullet"/>
        <w:spacing w:after="40"/>
      </w:pPr>
      <w:r>
        <w:rPr>
          <w:b/>
        </w:rPr>
        <w:t xml:space="preserve">The graph helps only a little. </w:t>
      </w:r>
      <w:r>
        <w:t>In our GTCN-G style model, real neighbours add 0.0012 weighted F1 over isolated flows. Earlier runs on all our data showed no gain from the graph.</w:t>
      </w:r>
    </w:p>
    <w:p>
      <w:pPr>
        <w:pStyle w:val="ListBullet"/>
        <w:spacing w:after="40"/>
      </w:pPr>
      <w:r>
        <w:rPr>
          <w:b/>
        </w:rPr>
        <w:t xml:space="preserve">The design ideas are not what drives the result. </w:t>
      </w:r>
      <w:r>
        <w:t>Removing attention, the temporal branch or the graph convolution made no measurable difference; removing the residual branch (the flow's own features) cost 0.11 macro F1.</w:t>
      </w:r>
    </w:p>
    <w:p>
      <w:pPr>
        <w:pStyle w:val="ListBullet"/>
        <w:spacing w:after="40"/>
      </w:pPr>
      <w:r>
        <w:rPr>
          <w:b/>
        </w:rPr>
        <w:t xml:space="preserve">The minority-class goal is partly limited by the data. </w:t>
      </w:r>
      <w:r>
        <w:t>Loss changes did not raise macro F1, and 81% to 85% of Analysis and Backdoor flows have a twin of another class, which caps their F1 at about 0.38 and 0.37 in sample; our models reach about 0.2, so part of the shortfall remains unexplained. Only the weighted metric looks good because Normal dominates.</w:t>
      </w:r>
    </w:p>
    <w:p>
      <w:pPr>
        <w:pStyle w:val="ListBullet"/>
        <w:spacing w:after="40"/>
      </w:pPr>
      <w:r>
        <w:rPr>
          <w:b/>
        </w:rPr>
        <w:t xml:space="preserve">The scores stop because of the data. </w:t>
      </w:r>
      <w:r>
        <w:t>The raw columns we dropped, the IP addresses and the time order do not separate the overlapping classes; the hosts are few; a loss change moves the boundary but adds no information. A set of classes, with a coverage statement, is a way to report this without forcing a label. It is not more efficient than a fixed top-3.</w:t>
      </w:r>
    </w:p>
    <w:p>
      <w:pPr>
        <w:pStyle w:val="ListBullet"/>
        <w:spacing w:after="40"/>
      </w:pPr>
      <w:r>
        <w:rPr>
          <w:b/>
        </w:rPr>
        <w:t xml:space="preserve">What differs from the paper and could matter. </w:t>
      </w:r>
      <w:r>
        <w:t>Duplicates (removed here), the split method, the loss, the baselines' training, and our simplifications of GTCN-G. We cannot say which of these explains the paper's low baseline scores.</w:t>
      </w:r>
    </w:p>
    <w:p>
      <w:pPr>
        <w:pStyle w:val="Heading1"/>
      </w:pPr>
      <w:r>
        <w:t>8. Limits of this comparison</w:t>
      </w:r>
    </w:p>
    <w:p>
      <w:pPr>
        <w:pStyle w:val="ListBullet"/>
        <w:spacing w:after="40"/>
      </w:pPr>
      <w:r>
        <w:t>This is not an exact replication. The paper leaves out its preprocessing, the split method, the loss and the optimizer, and gives no code. Our GTCN-G style model is our own implementation with simplifications (one hop, a mean in place of the adaptive adjacency, our own temporal ordering), so it says little about what the authors' model does.</w:t>
      </w:r>
    </w:p>
    <w:p>
      <w:pPr>
        <w:pStyle w:val="ListBullet"/>
        <w:spacing w:after="40"/>
      </w:pPr>
      <w:r>
        <w:t>The paper's data is identified from row count and class mix, which agree exactly with the first raw file; the paper does not name the file. We removed duplicate rows (59,213 in that file, 8.5%) and the paper probably did not; a run with duplicates kept was not done.</w:t>
      </w:r>
    </w:p>
    <w:p>
      <w:pPr>
        <w:pStyle w:val="ListBullet"/>
        <w:spacing w:after="40"/>
      </w:pPr>
      <w:r>
        <w:t>Our learning rate for the baseline (0.001) differs from the paper's 0.007 because 0.007 collapsed in our runs. The paper gives 0.007 in its shared settings, so it probably used it for its baselines too; with our data and network it did not train.</w:t>
      </w:r>
    </w:p>
    <w:p>
      <w:pPr>
        <w:pStyle w:val="ListBullet"/>
        <w:spacing w:after="40"/>
      </w:pPr>
      <w:r>
        <w:t>The comparison with predicting Normal assumes the paper's test set has about its class mix; the paper does not state its split.</w:t>
      </w:r>
    </w:p>
    <w:p>
      <w:pPr>
        <w:pStyle w:val="ListBullet"/>
        <w:spacing w:after="40"/>
      </w:pPr>
      <w:r>
        <w:t>3 seeds per condition. The bootstrap intervals use the seed-42 predictions only and show test-set sampling noise, not seed variation. The three LightGBM seeds differ only through the sample used to build feature histograms, so their spread understates real variation. Worms has too few flows (24 in the subset) for a reliable F1.</w:t>
      </w:r>
    </w:p>
    <w:p>
      <w:pPr>
        <w:pStyle w:val="ListBullet"/>
        <w:spacing w:after="40"/>
      </w:pPr>
      <w:r>
        <w:t>The overlap bound is computed in sample on the paper's subset and for the 45 features of one flow.</w:t>
      </w:r>
    </w:p>
    <w:p>
      <w:pPr>
        <w:pStyle w:val="ListBullet"/>
        <w:spacing w:after="40"/>
      </w:pPr>
      <w:r>
        <w:t>The conformal sets use one model family (LightGBM), one score (1 minus the probability), one random split (the validation and test flows come from the same draw, which the coverage statement needs), calibration sets of 58 to 59 flows for Analysis and Backdoor, a fixed calibration and test set across the 3 seeds, and Worms is excluded from the guarantees. We did not test whether the sets help an analyst.</w:t>
      </w:r>
    </w:p>
    <w:p>
      <w:pPr>
        <w:pStyle w:val="ListBullet"/>
        <w:spacing w:after="40"/>
      </w:pPr>
      <w:r>
        <w:t>LightGBM is unstable with many trees in our setup (the unweighted model gets worse as trees are added; the class-weighted one collapses after about 250 trees), so our LightGBM results rely on early stopping on validation.</w:t>
      </w:r>
    </w:p>
    <w:p>
      <w:pPr>
        <w:pStyle w:val="ListBullet"/>
        <w:spacing w:after="40"/>
      </w:pPr>
      <w:r>
        <w:t>We read arXiv version 3 (14 April 2026) of the paper, a preprint; earlier versions were not compared. The binary task was not run.</w:t>
      </w:r>
    </w:p>
    <w:p>
      <w:pPr>
        <w:pStyle w:val="Heading1"/>
      </w:pPr>
      <w:r>
        <w:t>9. What would settle the open points</w:t>
      </w:r>
    </w:p>
    <w:p>
      <w:pPr>
        <w:pStyle w:val="ListBullet"/>
        <w:spacing w:after="40"/>
      </w:pPr>
      <w:r>
        <w:t>Ask the authors for their code, split, preprocessing and loss, or check whether a published version gives them.</w:t>
      </w:r>
    </w:p>
    <w:p>
      <w:pPr>
        <w:pStyle w:val="ListBullet"/>
        <w:spacing w:after="40"/>
      </w:pPr>
      <w:r>
        <w:t>Rerun the second replication with the 59,213 duplicate rows kept, and with other split methods, to see how much of the weighted F1 gap comes from data preparation.</w:t>
      </w:r>
    </w:p>
    <w:p>
      <w:pPr>
        <w:pStyle w:val="ListBullet"/>
        <w:spacing w:after="40"/>
      </w:pPr>
      <w:r>
        <w:t>Run the binary attack-or-not task on the paper's data, to compare with the paper's binary column (0.9023 to 0.9689). We have not run it.</w:t>
      </w:r>
    </w:p>
    <w:p>
      <w:pPr>
        <w:pStyle w:val="ListBullet"/>
        <w:spacing w:after="40"/>
      </w:pPr>
      <w:r>
        <w:t>Repeat the conformal sets with more calibration flows for Analysis and Backdoor, other scores and the probabilities of the GNN, and test whether the sets help an analyst.</w:t>
      </w:r>
    </w:p>
    <w:p>
      <w:pPr>
        <w:pStyle w:val="Heading1"/>
      </w:pPr>
      <w:r>
        <w:t>10. Suggested wording</w:t>
      </w:r>
    </w:p>
    <w:p>
      <w:r>
        <w:rPr>
          <w:i/>
        </w:rPr>
        <w:t>"We replicated the stated setup of GTCN-G (5:2:3 split, E-GraphSAGE-M style baseline, batches of 500). The paper's data matches the first raw UNSW-NB15 file (700,001 flows, same class mix), so we repeated the work on that file. A model that predicts Normal for every flow would score about 0.953 weighted F1 there, above the 0.9512 the paper reports for GTCN-G, and our simple baseline scores 0.993. We implemented GTCN-G's main parts ourselves; the full model does not beat the simple baseline, the residual branch (the flow's own features) is the part that matters, and the graph adds about 0.001 weighted F1. Changes of the loss did not raise macro F1, and about 80% of Analysis and Backdoor flows have an identical-feature twin of another class, which caps their F1 at about 0.38 for any model on those features (ours reach about 0.2). Neither dropped raw columns, IP addresses nor time order separate them. Returning a set of about 2.3 to 2.7 attack classes instead of one label holds the true class of Analysis, Backdoor and DoS flows for 83% to 92% of detected flows (single label: 20% to 35%), but it is no more efficient than a fixed top-3. These results use our own implementation and our own preprocessing (duplicates removed), so they are not a verdict on the authors' model."</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