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8641A9" w14:textId="77777777" w:rsidR="00E57EBC" w:rsidRDefault="00000000">
      <w:pPr>
        <w:spacing w:after="160" w:line="340" w:lineRule="auto"/>
        <w:jc w:val="center"/>
      </w:pPr>
      <w:r>
        <w:rPr>
          <w:b/>
          <w:bCs/>
          <w:sz w:val="30"/>
          <w:szCs w:val="30"/>
        </w:rPr>
        <w:t>以多元學習理論建構課前後自評：內科住院醫師分階段床邊超音波（</w:t>
      </w:r>
      <w:r>
        <w:rPr>
          <w:b/>
          <w:bCs/>
          <w:sz w:val="30"/>
          <w:szCs w:val="30"/>
        </w:rPr>
        <w:t>POCUS</w:t>
      </w:r>
      <w:r>
        <w:rPr>
          <w:b/>
          <w:bCs/>
          <w:sz w:val="30"/>
          <w:szCs w:val="30"/>
        </w:rPr>
        <w:t>）課程之初步成效</w:t>
      </w:r>
    </w:p>
    <w:p w14:paraId="2C91A8F8" w14:textId="6EAE5DB7" w:rsidR="00E57EBC" w:rsidRDefault="00000000">
      <w:pPr>
        <w:spacing w:after="40" w:line="320" w:lineRule="auto"/>
        <w:jc w:val="center"/>
      </w:pPr>
      <w:r w:rsidRPr="00406665">
        <w:rPr>
          <w:u w:val="single"/>
        </w:rPr>
        <w:t>黃琪雅</w:t>
      </w:r>
      <w:r w:rsidRPr="00406665">
        <w:rPr>
          <w:u w:val="single"/>
          <w:vertAlign w:val="superscript"/>
        </w:rPr>
        <w:t>1*</w:t>
      </w:r>
      <w:r>
        <w:t>、楊其臻</w:t>
      </w:r>
      <w:r>
        <w:rPr>
          <w:vertAlign w:val="superscript"/>
        </w:rPr>
        <w:t>2</w:t>
      </w:r>
      <w:r>
        <w:t>、徐瑋</w:t>
      </w:r>
      <w:r>
        <w:rPr>
          <w:vertAlign w:val="superscript"/>
        </w:rPr>
        <w:t>2</w:t>
      </w:r>
      <w:r>
        <w:t>、蘇俐瑋</w:t>
      </w:r>
      <w:r>
        <w:rPr>
          <w:vertAlign w:val="superscript"/>
        </w:rPr>
        <w:t>2</w:t>
      </w:r>
      <w:r>
        <w:t>、李承翰</w:t>
      </w:r>
      <w:r>
        <w:rPr>
          <w:vertAlign w:val="superscript"/>
        </w:rPr>
        <w:t>3</w:t>
      </w:r>
      <w:r>
        <w:t>、胡凱淇</w:t>
      </w:r>
      <w:r>
        <w:rPr>
          <w:vertAlign w:val="superscript"/>
        </w:rPr>
        <w:t>4</w:t>
      </w:r>
      <w:r>
        <w:t>、楊皓文</w:t>
      </w:r>
      <w:r>
        <w:rPr>
          <w:vertAlign w:val="superscript"/>
        </w:rPr>
        <w:t>4</w:t>
      </w:r>
      <w:r>
        <w:t>、李博洧</w:t>
      </w:r>
      <w:r>
        <w:rPr>
          <w:vertAlign w:val="superscript"/>
        </w:rPr>
        <w:t>4</w:t>
      </w:r>
      <w:r>
        <w:t>、郭加智</w:t>
      </w:r>
      <w:r>
        <w:rPr>
          <w:vertAlign w:val="superscript"/>
        </w:rPr>
        <w:t>5</w:t>
      </w:r>
      <w:r>
        <w:t>、楊峻嘉</w:t>
      </w:r>
      <w:r>
        <w:rPr>
          <w:vertAlign w:val="superscript"/>
        </w:rPr>
        <w:t>5</w:t>
      </w:r>
      <w:r>
        <w:t>、黃博裕</w:t>
      </w:r>
      <w:r>
        <w:rPr>
          <w:vertAlign w:val="superscript"/>
        </w:rPr>
        <w:t>5</w:t>
      </w:r>
      <w:r>
        <w:t>、</w:t>
      </w:r>
      <w:r w:rsidRPr="00406665">
        <w:rPr>
          <w:u w:val="single"/>
        </w:rPr>
        <w:t>陳伯榕</w:t>
      </w:r>
      <w:r w:rsidRPr="00406665">
        <w:rPr>
          <w:u w:val="single"/>
          <w:vertAlign w:val="superscript"/>
        </w:rPr>
        <w:t>6</w:t>
      </w:r>
      <w:r>
        <w:t>、</w:t>
      </w:r>
      <w:r w:rsidRPr="00406665">
        <w:rPr>
          <w:u w:val="single"/>
        </w:rPr>
        <w:t>郭妍伶</w:t>
      </w:r>
      <w:r w:rsidRPr="00406665">
        <w:rPr>
          <w:u w:val="single"/>
          <w:vertAlign w:val="superscript"/>
        </w:rPr>
        <w:t>1</w:t>
      </w:r>
    </w:p>
    <w:p w14:paraId="6B0BEAE3" w14:textId="77777777" w:rsidR="00E57EBC" w:rsidRDefault="00000000">
      <w:pPr>
        <w:spacing w:after="40" w:line="320" w:lineRule="auto"/>
        <w:jc w:val="center"/>
      </w:pPr>
      <w:r>
        <w:rPr>
          <w:sz w:val="22"/>
          <w:szCs w:val="22"/>
        </w:rPr>
        <w:t>奇美醫療財團法人奇美醫院：</w:t>
      </w:r>
      <w:r>
        <w:rPr>
          <w:sz w:val="22"/>
          <w:szCs w:val="22"/>
          <w:vertAlign w:val="superscript"/>
        </w:rPr>
        <w:t>1</w:t>
      </w:r>
      <w:r>
        <w:rPr>
          <w:sz w:val="22"/>
          <w:szCs w:val="22"/>
        </w:rPr>
        <w:t>一般內科；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心臟內科；</w:t>
      </w:r>
      <w:r>
        <w:rPr>
          <w:sz w:val="22"/>
          <w:szCs w:val="22"/>
          <w:vertAlign w:val="superscript"/>
        </w:rPr>
        <w:t>3</w:t>
      </w:r>
      <w:r>
        <w:rPr>
          <w:sz w:val="22"/>
          <w:szCs w:val="22"/>
        </w:rPr>
        <w:t>感染科；</w:t>
      </w:r>
      <w:r>
        <w:rPr>
          <w:sz w:val="22"/>
          <w:szCs w:val="22"/>
          <w:vertAlign w:val="superscript"/>
        </w:rPr>
        <w:t>4</w:t>
      </w:r>
      <w:r>
        <w:rPr>
          <w:sz w:val="22"/>
          <w:szCs w:val="22"/>
        </w:rPr>
        <w:t>胸腔內科；</w:t>
      </w:r>
      <w:r>
        <w:rPr>
          <w:sz w:val="22"/>
          <w:szCs w:val="22"/>
          <w:vertAlign w:val="superscript"/>
        </w:rPr>
        <w:t>5</w:t>
      </w:r>
      <w:r>
        <w:rPr>
          <w:sz w:val="22"/>
          <w:szCs w:val="22"/>
        </w:rPr>
        <w:t>肝膽腸胃科；</w:t>
      </w:r>
      <w:r>
        <w:rPr>
          <w:sz w:val="22"/>
          <w:szCs w:val="22"/>
          <w:vertAlign w:val="superscript"/>
        </w:rPr>
        <w:t>6</w:t>
      </w:r>
      <w:r>
        <w:rPr>
          <w:sz w:val="22"/>
          <w:szCs w:val="22"/>
        </w:rPr>
        <w:t>急診部</w:t>
      </w:r>
    </w:p>
    <w:p w14:paraId="433EFA87" w14:textId="77777777" w:rsidR="00E57EBC" w:rsidRDefault="00000000">
      <w:pPr>
        <w:spacing w:after="200" w:line="320" w:lineRule="auto"/>
        <w:jc w:val="center"/>
      </w:pPr>
      <w:r>
        <w:rPr>
          <w:sz w:val="20"/>
          <w:szCs w:val="20"/>
        </w:rPr>
        <w:t>＊本論文作者為台灣醫學教育學會會員</w:t>
      </w:r>
    </w:p>
    <w:p w14:paraId="621DF4D1" w14:textId="77777777" w:rsidR="00E57EBC" w:rsidRDefault="00000000">
      <w:pPr>
        <w:spacing w:after="120" w:line="320" w:lineRule="auto"/>
        <w:jc w:val="both"/>
      </w:pPr>
      <w:r>
        <w:rPr>
          <w:b/>
          <w:bCs/>
        </w:rPr>
        <w:t>【目的】</w:t>
      </w:r>
      <w:r>
        <w:t>床邊即時超音波（</w:t>
      </w:r>
      <w:r>
        <w:t>POCUS</w:t>
      </w:r>
      <w:r>
        <w:t>）訓練多僅以滿意度評估，難呈現完整學習成效。本研究以多元學習理論建構課前基線與課後自評，捕捉多面向學習改變。</w:t>
      </w:r>
    </w:p>
    <w:p w14:paraId="3245E5B8" w14:textId="77777777" w:rsidR="00E57EBC" w:rsidRDefault="00000000">
      <w:pPr>
        <w:spacing w:after="120" w:line="320" w:lineRule="auto"/>
        <w:jc w:val="both"/>
      </w:pPr>
      <w:r>
        <w:rPr>
          <w:b/>
          <w:bCs/>
        </w:rPr>
        <w:t>【方法】</w:t>
      </w:r>
      <w:r>
        <w:t>分階段</w:t>
      </w:r>
      <w:r>
        <w:t xml:space="preserve"> POCUS </w:t>
      </w:r>
      <w:r>
        <w:t>課程含大堂課與</w:t>
      </w:r>
      <w:r>
        <w:t xml:space="preserve"> hands-on </w:t>
      </w:r>
      <w:r>
        <w:t>實作；理論同時導引設計與評量：認知負荷理論引導基礎至疾病整合之分階順序，刻意練習引導即時回饋實作。</w:t>
      </w:r>
      <w:r>
        <w:t xml:space="preserve">Bandura </w:t>
      </w:r>
      <w:r>
        <w:t>自我效能測課前後信心（探頭操作、影像辨識、臨床決策整合）；</w:t>
      </w:r>
      <w:r>
        <w:t xml:space="preserve">Kirkpatrick </w:t>
      </w:r>
      <w:r>
        <w:t>課後測反應與學習；</w:t>
      </w:r>
      <w:r>
        <w:t xml:space="preserve">Miller </w:t>
      </w:r>
      <w:r>
        <w:t>能力金字塔對應概念理解與自評技能掌握；</w:t>
      </w:r>
      <w:proofErr w:type="spellStart"/>
      <w:r>
        <w:t>Sweller</w:t>
      </w:r>
      <w:proofErr w:type="spellEnd"/>
      <w:r>
        <w:t xml:space="preserve"> </w:t>
      </w:r>
      <w:r>
        <w:t>認知負荷測學習負荷，均採</w:t>
      </w:r>
      <w:r>
        <w:t xml:space="preserve"> Likert </w:t>
      </w:r>
      <w:r>
        <w:t>五分量表。因課前問卷不記名，採群體層級比較。</w:t>
      </w:r>
    </w:p>
    <w:p w14:paraId="3E8A9DFC" w14:textId="78BA2139" w:rsidR="00E57EBC" w:rsidRDefault="00000000">
      <w:pPr>
        <w:spacing w:after="120" w:line="320" w:lineRule="auto"/>
        <w:jc w:val="both"/>
      </w:pPr>
      <w:r>
        <w:rPr>
          <w:b/>
          <w:bCs/>
        </w:rPr>
        <w:t>【結果】</w:t>
      </w:r>
      <w:r>
        <w:t>以心臟模組為先導（各</w:t>
      </w:r>
      <w:r>
        <w:t xml:space="preserve"> n=7</w:t>
      </w:r>
      <w:r>
        <w:t>）。課前自我效能偏低，臨床決策整合僅</w:t>
      </w:r>
      <w:r>
        <w:t xml:space="preserve"> 2.0</w:t>
      </w:r>
      <w:r>
        <w:t>／</w:t>
      </w:r>
      <w:r>
        <w:t>5</w:t>
      </w:r>
      <w:r>
        <w:t>，</w:t>
      </w:r>
      <w:r>
        <w:t>5</w:t>
      </w:r>
      <w:r>
        <w:t>／</w:t>
      </w:r>
      <w:r>
        <w:t xml:space="preserve">7 </w:t>
      </w:r>
      <w:r>
        <w:t>無正式心超訓練；</w:t>
      </w:r>
      <w:r w:rsidR="00417916">
        <w:rPr>
          <w:rFonts w:hint="eastAsia"/>
        </w:rPr>
        <w:t>大堂課與</w:t>
      </w:r>
      <w:r w:rsidR="00417916">
        <w:t>實作</w:t>
      </w:r>
      <w:r>
        <w:t>課後整體滿意度</w:t>
      </w:r>
      <w:r>
        <w:t xml:space="preserve"> 4.7</w:t>
      </w:r>
      <w:r>
        <w:t>、教學清晰度</w:t>
      </w:r>
      <w:r>
        <w:t xml:space="preserve"> 4.6</w:t>
      </w:r>
      <w:r>
        <w:t>、自我效能升至</w:t>
      </w:r>
      <w:r>
        <w:t xml:space="preserve"> 4.1</w:t>
      </w:r>
      <w:r>
        <w:t>。質性回饋以釐清臨床應用時機最具助益；</w:t>
      </w:r>
      <w:r w:rsidR="00417916">
        <w:rPr>
          <w:rFonts w:hint="eastAsia"/>
        </w:rPr>
        <w:t>然</w:t>
      </w:r>
      <w:r>
        <w:t xml:space="preserve">hands-on </w:t>
      </w:r>
      <w:r w:rsidR="00417916">
        <w:rPr>
          <w:rFonts w:hint="eastAsia"/>
        </w:rPr>
        <w:t>課後</w:t>
      </w:r>
      <w:r>
        <w:t>完成</w:t>
      </w:r>
      <w:r w:rsidR="00417916">
        <w:rPr>
          <w:rFonts w:hint="eastAsia"/>
        </w:rPr>
        <w:t>評量</w:t>
      </w:r>
      <w:r>
        <w:rPr>
          <w:rFonts w:hint="eastAsia"/>
        </w:rPr>
        <w:t>者</w:t>
      </w:r>
      <w:r>
        <w:t>僅</w:t>
      </w:r>
      <w:r>
        <w:t xml:space="preserve"> 1 </w:t>
      </w:r>
      <w:r>
        <w:t>人，暫難推論。</w:t>
      </w:r>
    </w:p>
    <w:p w14:paraId="66DB93BA" w14:textId="77777777" w:rsidR="00E57EBC" w:rsidRDefault="00000000">
      <w:pPr>
        <w:spacing w:after="120" w:line="320" w:lineRule="auto"/>
        <w:jc w:val="both"/>
      </w:pPr>
      <w:r>
        <w:rPr>
          <w:b/>
          <w:bCs/>
        </w:rPr>
        <w:t>【結論】</w:t>
      </w:r>
      <w:r>
        <w:t>多元理論導向之課前後自評可同時涵蓋反應、認知、自我效能與負荷，較單一滿意度完整。惟屬單模組、小樣本之初步結果，技能（</w:t>
      </w:r>
      <w:r>
        <w:t>shows how</w:t>
      </w:r>
      <w:r>
        <w:t>）待以</w:t>
      </w:r>
      <w:r>
        <w:t xml:space="preserve"> OSCE </w:t>
      </w:r>
      <w:r>
        <w:t>驗證。</w:t>
      </w:r>
    </w:p>
    <w:p w14:paraId="10BF35D8" w14:textId="77777777" w:rsidR="00E57EBC" w:rsidRDefault="00000000">
      <w:pPr>
        <w:spacing w:before="80" w:line="320" w:lineRule="auto"/>
        <w:jc w:val="both"/>
      </w:pPr>
      <w:r>
        <w:rPr>
          <w:b/>
          <w:bCs/>
        </w:rPr>
        <w:t>關鍵詞：</w:t>
      </w:r>
      <w:r>
        <w:t>課程評量、學習理論、自我效能、認知負荷、床邊即時超音波（</w:t>
      </w:r>
      <w:r>
        <w:t>POCUS</w:t>
      </w:r>
      <w:r>
        <w:t>）</w:t>
      </w:r>
    </w:p>
    <w:sectPr w:rsidR="00E57EB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353328"/>
    <w:multiLevelType w:val="hybridMultilevel"/>
    <w:tmpl w:val="8CCAB720"/>
    <w:lvl w:ilvl="0" w:tplc="E27EBD06">
      <w:start w:val="1"/>
      <w:numFmt w:val="bullet"/>
      <w:lvlText w:val="●"/>
      <w:lvlJc w:val="left"/>
      <w:pPr>
        <w:ind w:left="720" w:hanging="360"/>
      </w:pPr>
    </w:lvl>
    <w:lvl w:ilvl="1" w:tplc="0BAE57C6">
      <w:start w:val="1"/>
      <w:numFmt w:val="bullet"/>
      <w:lvlText w:val="○"/>
      <w:lvlJc w:val="left"/>
      <w:pPr>
        <w:ind w:left="1440" w:hanging="360"/>
      </w:pPr>
    </w:lvl>
    <w:lvl w:ilvl="2" w:tplc="E2625CC4">
      <w:start w:val="1"/>
      <w:numFmt w:val="bullet"/>
      <w:lvlText w:val="■"/>
      <w:lvlJc w:val="left"/>
      <w:pPr>
        <w:ind w:left="2160" w:hanging="360"/>
      </w:pPr>
    </w:lvl>
    <w:lvl w:ilvl="3" w:tplc="48D0A270">
      <w:start w:val="1"/>
      <w:numFmt w:val="bullet"/>
      <w:lvlText w:val="●"/>
      <w:lvlJc w:val="left"/>
      <w:pPr>
        <w:ind w:left="2880" w:hanging="360"/>
      </w:pPr>
    </w:lvl>
    <w:lvl w:ilvl="4" w:tplc="4D6CA9BE">
      <w:start w:val="1"/>
      <w:numFmt w:val="bullet"/>
      <w:lvlText w:val="○"/>
      <w:lvlJc w:val="left"/>
      <w:pPr>
        <w:ind w:left="3600" w:hanging="360"/>
      </w:pPr>
    </w:lvl>
    <w:lvl w:ilvl="5" w:tplc="502637A4">
      <w:start w:val="1"/>
      <w:numFmt w:val="bullet"/>
      <w:lvlText w:val="■"/>
      <w:lvlJc w:val="left"/>
      <w:pPr>
        <w:ind w:left="4320" w:hanging="360"/>
      </w:pPr>
    </w:lvl>
    <w:lvl w:ilvl="6" w:tplc="E01291A8">
      <w:start w:val="1"/>
      <w:numFmt w:val="bullet"/>
      <w:lvlText w:val="●"/>
      <w:lvlJc w:val="left"/>
      <w:pPr>
        <w:ind w:left="5040" w:hanging="360"/>
      </w:pPr>
    </w:lvl>
    <w:lvl w:ilvl="7" w:tplc="7A0CC3EC">
      <w:start w:val="1"/>
      <w:numFmt w:val="bullet"/>
      <w:lvlText w:val="●"/>
      <w:lvlJc w:val="left"/>
      <w:pPr>
        <w:ind w:left="5760" w:hanging="360"/>
      </w:pPr>
    </w:lvl>
    <w:lvl w:ilvl="8" w:tplc="CD8E7C50">
      <w:start w:val="1"/>
      <w:numFmt w:val="bullet"/>
      <w:lvlText w:val="●"/>
      <w:lvlJc w:val="left"/>
      <w:pPr>
        <w:ind w:left="6480" w:hanging="360"/>
      </w:pPr>
    </w:lvl>
  </w:abstractNum>
  <w:num w:numId="1" w16cid:durableId="1408376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BC"/>
    <w:rsid w:val="00406665"/>
    <w:rsid w:val="00417916"/>
    <w:rsid w:val="00D046F9"/>
    <w:rsid w:val="00E5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89EF4"/>
  <w15:docId w15:val="{80BB75D5-76FE-7A41-9925-C7D0C8E1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 楊</cp:lastModifiedBy>
  <cp:revision>3</cp:revision>
  <dcterms:created xsi:type="dcterms:W3CDTF">2026-07-29T09:02:00Z</dcterms:created>
  <dcterms:modified xsi:type="dcterms:W3CDTF">2026-07-29T09:11:00Z</dcterms:modified>
</cp:coreProperties>
</file>