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C2A35" w14:textId="77777777" w:rsidR="00D83A2A" w:rsidRDefault="00D83A2A">
      <w:pPr>
        <w:spacing w:before="3600" w:line="480" w:lineRule="auto"/>
      </w:pPr>
    </w:p>
    <w:p w14:paraId="3B1C12A3" w14:textId="77777777" w:rsidR="00D83A2A" w:rsidRDefault="00000000">
      <w:pPr>
        <w:spacing w:line="480" w:lineRule="auto"/>
        <w:jc w:val="center"/>
      </w:pPr>
      <w:r>
        <w:rPr>
          <w:b/>
          <w:bCs/>
        </w:rPr>
        <w:t>Predicting Student Dropout in Online Courses</w:t>
      </w:r>
    </w:p>
    <w:p w14:paraId="3F03D9E5" w14:textId="77777777" w:rsidR="00D83A2A" w:rsidRDefault="00000000">
      <w:pPr>
        <w:spacing w:line="480" w:lineRule="auto"/>
        <w:jc w:val="center"/>
      </w:pPr>
      <w:r>
        <w:rPr>
          <w:b/>
          <w:bCs/>
        </w:rPr>
        <w:t>Using Early-Warning Learning Analytics</w:t>
      </w:r>
    </w:p>
    <w:p w14:paraId="11CB0880" w14:textId="77777777" w:rsidR="00D83A2A" w:rsidRDefault="00D83A2A">
      <w:pPr>
        <w:spacing w:line="480" w:lineRule="auto"/>
      </w:pPr>
    </w:p>
    <w:p w14:paraId="3511D5F7" w14:textId="148753D7" w:rsidR="00D83A2A" w:rsidRDefault="005F298B">
      <w:pPr>
        <w:spacing w:line="480" w:lineRule="auto"/>
        <w:jc w:val="center"/>
      </w:pPr>
      <w:r>
        <w:t>Gabriela, Sheila and Sanjog</w:t>
      </w:r>
    </w:p>
    <w:p w14:paraId="084A38CE" w14:textId="77777777" w:rsidR="00D83A2A" w:rsidRDefault="00000000">
      <w:pPr>
        <w:spacing w:line="480" w:lineRule="auto"/>
        <w:jc w:val="center"/>
      </w:pPr>
      <w:r>
        <w:t>DATA 6545: Data Science and MLOps</w:t>
      </w:r>
    </w:p>
    <w:p w14:paraId="2271E2AC" w14:textId="77777777" w:rsidR="00D83A2A" w:rsidRDefault="00000000">
      <w:pPr>
        <w:spacing w:line="480" w:lineRule="auto"/>
        <w:jc w:val="center"/>
      </w:pPr>
      <w:r>
        <w:t>Fairfield University, Charles F. Dolan School of Business</w:t>
      </w:r>
    </w:p>
    <w:p w14:paraId="06119DEE" w14:textId="77777777" w:rsidR="00D83A2A" w:rsidRDefault="00000000">
      <w:pPr>
        <w:spacing w:line="480" w:lineRule="auto"/>
        <w:jc w:val="center"/>
      </w:pPr>
      <w:r>
        <w:t>Instructor: Austin Reiter, Ph.D.</w:t>
      </w:r>
    </w:p>
    <w:p w14:paraId="6CE464D6" w14:textId="77777777" w:rsidR="00D83A2A" w:rsidRDefault="00000000">
      <w:pPr>
        <w:spacing w:line="480" w:lineRule="auto"/>
        <w:jc w:val="center"/>
      </w:pPr>
      <w:r>
        <w:t>Spring 2026</w:t>
      </w:r>
    </w:p>
    <w:p w14:paraId="10FD5A7C" w14:textId="77777777" w:rsidR="00D83A2A" w:rsidRDefault="00000000">
      <w:r>
        <w:br w:type="page"/>
      </w:r>
    </w:p>
    <w:p w14:paraId="6284FA5F" w14:textId="77777777" w:rsidR="00D83A2A" w:rsidRDefault="00000000">
      <w:pPr>
        <w:spacing w:before="240" w:line="480" w:lineRule="auto"/>
        <w:jc w:val="center"/>
      </w:pPr>
      <w:r>
        <w:rPr>
          <w:b/>
          <w:bCs/>
        </w:rPr>
        <w:lastRenderedPageBreak/>
        <w:t>Abstract</w:t>
      </w:r>
    </w:p>
    <w:p w14:paraId="2285F89D" w14:textId="77777777" w:rsidR="00D83A2A" w:rsidRDefault="00000000">
      <w:pPr>
        <w:spacing w:line="480" w:lineRule="auto"/>
      </w:pPr>
      <w:r>
        <w:t>Online education platforms face persistently high student dropout rates, reducing completion rates, learner satisfaction, and long-term revenue. This project develops an early-warning predictive model that estimates the probability a student will withdraw from an online course using only information available within the first 30 days of enrollment. Using the Open University Learning Analytics Dataset (OULAD), which contains 32,593 student-course enrollment records, six model configurations were systematically evaluated and tracked using MLflow. The Tuned Balanced Random Forest emerged as the recommended model, achieving a recall of 0.609, precision of 0.649, F1 score of 0.628, and AUC-ROC of 0.802. SHAP-based explainability analysis confirmed that early engagement signals—particularly average assessment score, last recorded activity day, and average daily click rate—are the strongest predictors of withdrawal risk. An intervention simulation estimates that the model could support the retention of approximately 270 students in the test sample under conservative assumptions. The project delivers versioned model artifacts, MLflow experiment tracking logs, a Flask API prototype, and comprehensive documentation of the full modeling lifecycle.</w:t>
      </w:r>
    </w:p>
    <w:p w14:paraId="089F5A4F" w14:textId="77777777" w:rsidR="00D83A2A" w:rsidRDefault="00000000">
      <w:pPr>
        <w:spacing w:line="480" w:lineRule="auto"/>
      </w:pPr>
      <w:r>
        <w:rPr>
          <w:i/>
          <w:iCs/>
        </w:rPr>
        <w:t xml:space="preserve">Keywords: </w:t>
      </w:r>
      <w:r>
        <w:t>student dropout, early-warning system, learning analytics, random forest, MLflow, OULAD</w:t>
      </w:r>
    </w:p>
    <w:p w14:paraId="64582FCF" w14:textId="77777777" w:rsidR="00D83A2A" w:rsidRDefault="00000000">
      <w:r>
        <w:br w:type="page"/>
      </w:r>
    </w:p>
    <w:p w14:paraId="262F115C" w14:textId="77777777" w:rsidR="00D83A2A" w:rsidRDefault="00000000">
      <w:pPr>
        <w:spacing w:before="240" w:line="480" w:lineRule="auto"/>
        <w:jc w:val="center"/>
      </w:pPr>
      <w:r>
        <w:rPr>
          <w:b/>
          <w:bCs/>
        </w:rPr>
        <w:lastRenderedPageBreak/>
        <w:t>Executive Summary</w:t>
      </w:r>
    </w:p>
    <w:p w14:paraId="76B9C53E" w14:textId="77777777" w:rsidR="00D83A2A" w:rsidRDefault="00000000">
      <w:pPr>
        <w:spacing w:line="480" w:lineRule="auto"/>
        <w:ind w:firstLine="720"/>
      </w:pPr>
      <w:r>
        <w:t>Online education platforms, including Massive Open Online Courses (MOOCs), face persistently high student dropout rates. These withdrawals reduce course completion rates, diminish learner satisfaction, and erode long-term revenue for education providers. If at-risk students can be identified early enough in the course lifecycle, institutions can deploy targeted interventions such as personalized reminders, tutoring support, or engagement nudges to improve retention outcomes.</w:t>
      </w:r>
    </w:p>
    <w:p w14:paraId="4FD0DF06" w14:textId="77777777" w:rsidR="00D83A2A" w:rsidRDefault="00000000">
      <w:pPr>
        <w:spacing w:line="480" w:lineRule="auto"/>
        <w:ind w:firstLine="720"/>
      </w:pPr>
      <w:r>
        <w:t>This project develops an early-warning predictive model that estimates the probability a student will withdraw from an online course, using only information available within the first 30 days of enrollment. The model is trained on the Open University Learning Analytics Dataset (OULAD), which contains 32,593 student-course enrollment records spanning demographic information, registration timing, virtual learning environment (VLE) interaction logs, and assessment submission data.</w:t>
      </w:r>
    </w:p>
    <w:p w14:paraId="1B08BAA1" w14:textId="77777777" w:rsidR="00D83A2A" w:rsidRDefault="00000000">
      <w:pPr>
        <w:spacing w:line="480" w:lineRule="auto"/>
        <w:ind w:firstLine="720"/>
      </w:pPr>
      <w:r>
        <w:t>Six model configurations were systematically evaluated and tracked using MLflow, progressing from a baseline logistic regression through default and class-balanced ensemble methods to hyperparameter-tuned variants. The Tuned Balanced Random Forest emerged as the recommended model, achieving a recall of 0.609, precision of 0.649, F1 score of 0.628, and AUC-ROC of 0.802 on the held-out test set. At an operating threshold of 0.30, the model captures approximately 66.6% of actual withdrawals while flagging a manageable number of students for outreach.</w:t>
      </w:r>
    </w:p>
    <w:p w14:paraId="38EC76F9" w14:textId="77777777" w:rsidR="00D83A2A" w:rsidRDefault="00000000">
      <w:pPr>
        <w:spacing w:line="480" w:lineRule="auto"/>
        <w:ind w:firstLine="720"/>
      </w:pPr>
      <w:r>
        <w:t xml:space="preserve">SHAP-based model explainability analysis confirmed that early engagement signals, particularly average assessment score, last recorded activity day, and average daily click rate, are the strongest predictors of withdrawal risk. An intervention simulation estimates that under a </w:t>
      </w:r>
      <w:r>
        <w:lastRenderedPageBreak/>
        <w:t>conservative 20% success rate assumption, the model could support the retention of approximately 270 students in the evaluated test sample alone.</w:t>
      </w:r>
    </w:p>
    <w:p w14:paraId="629D090B" w14:textId="77777777" w:rsidR="00D83A2A" w:rsidRDefault="00000000">
      <w:pPr>
        <w:spacing w:line="480" w:lineRule="auto"/>
        <w:ind w:firstLine="720"/>
      </w:pPr>
      <w:r>
        <w:t>The project delivers a trained and validated machine learning model with versioned artifacts, MLflow experiment tracking logs, a Flask API prototype for real-time scoring, and this comprehensive documentation of the full modeling lifecycle.</w:t>
      </w:r>
    </w:p>
    <w:p w14:paraId="3D70DBFD" w14:textId="77777777" w:rsidR="00D83A2A" w:rsidRDefault="00000000">
      <w:r>
        <w:br w:type="page"/>
      </w:r>
    </w:p>
    <w:p w14:paraId="2DB44F74" w14:textId="77777777" w:rsidR="00D83A2A" w:rsidRDefault="00000000">
      <w:pPr>
        <w:spacing w:before="240" w:line="480" w:lineRule="auto"/>
        <w:jc w:val="center"/>
      </w:pPr>
      <w:r>
        <w:rPr>
          <w:b/>
          <w:bCs/>
        </w:rPr>
        <w:lastRenderedPageBreak/>
        <w:t>Problem Statement and Business Context</w:t>
      </w:r>
    </w:p>
    <w:p w14:paraId="7958E71C" w14:textId="77777777" w:rsidR="00D83A2A" w:rsidRDefault="00000000">
      <w:pPr>
        <w:spacing w:before="240" w:line="480" w:lineRule="auto"/>
      </w:pPr>
      <w:r>
        <w:rPr>
          <w:b/>
          <w:bCs/>
        </w:rPr>
        <w:t>Problem Definition</w:t>
      </w:r>
    </w:p>
    <w:p w14:paraId="62A7126F" w14:textId="77777777" w:rsidR="00D83A2A" w:rsidRDefault="00000000">
      <w:pPr>
        <w:spacing w:line="480" w:lineRule="auto"/>
        <w:ind w:firstLine="720"/>
      </w:pPr>
      <w:r>
        <w:t>Student dropout in online courses represents a significant challenge for education providers. Unlike traditional classroom settings where instructors can observe disengagement directly, online platforms must rely on digital behavioral signals to identify students who may be at risk of withdrawing. The core prediction task addressed in this project is binary classification: given a student’s demographic profile, enrollment characteristics, and early behavioral data observed within the first 30 days of a course, predict whether the student will withdraw before completing the course.</w:t>
      </w:r>
    </w:p>
    <w:p w14:paraId="3E7B1081" w14:textId="77777777" w:rsidR="00D83A2A" w:rsidRDefault="00000000">
      <w:pPr>
        <w:spacing w:line="480" w:lineRule="auto"/>
        <w:ind w:firstLine="720"/>
      </w:pPr>
      <w:r>
        <w:t>The choice of a 30-day prediction window is deliberate. It balances the need for sufficient behavioral signal with the practical requirement of identifying at-risk students early enough for interventions to be effective. A prediction made too late in the course, even if highly accurate, provides limited operational value because the window for meaningful support has already closed.</w:t>
      </w:r>
    </w:p>
    <w:p w14:paraId="1234F916" w14:textId="77777777" w:rsidR="00D83A2A" w:rsidRDefault="00000000">
      <w:pPr>
        <w:spacing w:before="240" w:line="480" w:lineRule="auto"/>
      </w:pPr>
      <w:r>
        <w:rPr>
          <w:b/>
          <w:bCs/>
        </w:rPr>
        <w:t>Business Context and Stakeholders</w:t>
      </w:r>
    </w:p>
    <w:p w14:paraId="15447AC4" w14:textId="77777777" w:rsidR="00D83A2A" w:rsidRDefault="00000000">
      <w:pPr>
        <w:spacing w:line="480" w:lineRule="auto"/>
        <w:ind w:firstLine="720"/>
      </w:pPr>
      <w:r>
        <w:t>The primary stakeholders for this system are online education platform administrators and student support teams. For administrators, a reliable early-warning system enables more efficient allocation of limited support resources by directing outreach toward students with the highest predicted withdrawal probability. For student support teams, probability-based risk scores provide a prioritized list of students who would benefit most from proactive contact.</w:t>
      </w:r>
    </w:p>
    <w:p w14:paraId="7F266666" w14:textId="77777777" w:rsidR="00D83A2A" w:rsidRDefault="00000000">
      <w:pPr>
        <w:spacing w:line="480" w:lineRule="auto"/>
        <w:ind w:firstLine="720"/>
      </w:pPr>
      <w:r>
        <w:t xml:space="preserve">From a business perspective, student retention directly impacts several key metrics. Higher completion rates improve platform reputation and attract new enrollments. Reduced churn increases student lifetime value and improves revenue predictability. Timely interventions </w:t>
      </w:r>
      <w:r>
        <w:lastRenderedPageBreak/>
        <w:t>improve the student experience and generate positive word-of-mouth, reinforcing the platform’s value proposition.</w:t>
      </w:r>
    </w:p>
    <w:p w14:paraId="7F3355E8" w14:textId="77777777" w:rsidR="00D83A2A" w:rsidRDefault="00000000">
      <w:pPr>
        <w:spacing w:before="240" w:line="480" w:lineRule="auto"/>
      </w:pPr>
      <w:r>
        <w:rPr>
          <w:b/>
          <w:bCs/>
        </w:rPr>
        <w:t>Success Criteria</w:t>
      </w:r>
    </w:p>
    <w:p w14:paraId="6F73930C" w14:textId="77777777" w:rsidR="00D83A2A" w:rsidRDefault="00000000">
      <w:pPr>
        <w:spacing w:line="480" w:lineRule="auto"/>
        <w:ind w:firstLine="720"/>
      </w:pPr>
      <w:r>
        <w:t>The primary evaluation metric for this project is recall for the dropout class. In an early-warning context, the cost of missing a genuinely at-risk student (a false negative) is substantially higher than the cost of flagging a student who would have stayed (a false positive). A missed at-risk student receives no intervention and is likely to withdraw, while a falsely flagged student who receives a check-in message experiences minimal downside.</w:t>
      </w:r>
    </w:p>
    <w:p w14:paraId="3FDD379C" w14:textId="77777777" w:rsidR="00D83A2A" w:rsidRDefault="00000000">
      <w:pPr>
        <w:spacing w:line="480" w:lineRule="auto"/>
        <w:ind w:firstLine="720"/>
      </w:pPr>
      <w:r>
        <w:t>The secondary metric is F1 score, which balances recall with precision to ensure the model does not generate an unmanageable volume of false alarms. AUC-ROC is used as an additional diagnostic to assess the model’s overall discrimination ability across all possible thresholds.</w:t>
      </w:r>
    </w:p>
    <w:p w14:paraId="24AB2614" w14:textId="77777777" w:rsidR="00D83A2A" w:rsidRDefault="00000000">
      <w:r>
        <w:br w:type="page"/>
      </w:r>
    </w:p>
    <w:p w14:paraId="54E08EE7" w14:textId="77777777" w:rsidR="00D83A2A" w:rsidRDefault="00000000">
      <w:pPr>
        <w:spacing w:before="240" w:line="480" w:lineRule="auto"/>
        <w:jc w:val="center"/>
      </w:pPr>
      <w:r>
        <w:rPr>
          <w:b/>
          <w:bCs/>
        </w:rPr>
        <w:lastRenderedPageBreak/>
        <w:t>Data Description and EDA Findings</w:t>
      </w:r>
    </w:p>
    <w:p w14:paraId="45D71241" w14:textId="77777777" w:rsidR="00D83A2A" w:rsidRDefault="00000000">
      <w:pPr>
        <w:spacing w:before="240" w:line="480" w:lineRule="auto"/>
      </w:pPr>
      <w:r>
        <w:rPr>
          <w:b/>
          <w:bCs/>
        </w:rPr>
        <w:t>Dataset Overview</w:t>
      </w:r>
    </w:p>
    <w:p w14:paraId="66E41563" w14:textId="77777777" w:rsidR="00D83A2A" w:rsidRDefault="00000000">
      <w:pPr>
        <w:spacing w:line="480" w:lineRule="auto"/>
        <w:ind w:firstLine="720"/>
      </w:pPr>
      <w:r>
        <w:t>This project uses the Open University Learning Analytics Dataset (OULAD), a publicly available and widely cited dataset designed for learning analytics research (Kuzilek et al., 2017). The dataset was sourced from Kaggle and contains information from the Open University, one of the largest distance learning institutions in the world.</w:t>
      </w:r>
    </w:p>
    <w:p w14:paraId="571565A2" w14:textId="77777777" w:rsidR="00D83A2A" w:rsidRDefault="00000000">
      <w:pPr>
        <w:spacing w:line="480" w:lineRule="auto"/>
        <w:ind w:firstLine="720"/>
      </w:pPr>
      <w:r>
        <w:t>The OULAD dataset comprises multiple relational tables that were integrated for this analysis. The core tables used include studentInfo (student demographics and course outcomes), studentRegistration (enrollment timing), studentVle (virtual learning environment click-stream interactions), and studentAssessment (assignment submission records). After merging on shared keys (code_module, code_presentation, id_student), the resulting dataset contains 32,593 unique student-course enrollment records with 14 initial columns.</w:t>
      </w:r>
    </w:p>
    <w:p w14:paraId="6AE8DC8E" w14:textId="77777777" w:rsidR="00D83A2A" w:rsidRDefault="00000000">
      <w:pPr>
        <w:spacing w:before="240" w:line="480" w:lineRule="auto"/>
      </w:pPr>
      <w:r>
        <w:rPr>
          <w:b/>
          <w:bCs/>
        </w:rPr>
        <w:t>Key Variables</w:t>
      </w:r>
    </w:p>
    <w:p w14:paraId="02621239" w14:textId="77777777" w:rsidR="00D83A2A" w:rsidRDefault="00000000">
      <w:pPr>
        <w:spacing w:line="480" w:lineRule="auto"/>
      </w:pPr>
      <w:r>
        <w:t>Table 1 presents the key variables used in the analysis.</w:t>
      </w:r>
    </w:p>
    <w:p w14:paraId="0761D812" w14:textId="77777777" w:rsidR="00D83A2A" w:rsidRDefault="00000000">
      <w:pPr>
        <w:spacing w:line="480" w:lineRule="auto"/>
      </w:pPr>
      <w:r>
        <w:rPr>
          <w:i/>
          <w:iCs/>
        </w:rPr>
        <w:t>Table 1</w:t>
      </w:r>
    </w:p>
    <w:p w14:paraId="4FAAE955" w14:textId="77777777" w:rsidR="00D83A2A" w:rsidRDefault="00000000">
      <w:pPr>
        <w:spacing w:line="480" w:lineRule="auto"/>
      </w:pPr>
      <w:r>
        <w:rPr>
          <w:i/>
          <w:iCs/>
        </w:rPr>
        <w:t>Key Variables Used in the Analysis</w:t>
      </w:r>
    </w:p>
    <w:p w14:paraId="6AC63497" w14:textId="77777777" w:rsidR="00D83A2A" w:rsidRDefault="00D83A2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560"/>
      </w:tblGrid>
      <w:tr w:rsidR="00D83A2A" w14:paraId="47B7DCC1" w14:textId="77777777">
        <w:tblPrEx>
          <w:tblCellMar>
            <w:top w:w="0" w:type="dxa"/>
            <w:bottom w:w="0" w:type="dxa"/>
          </w:tblCellMar>
        </w:tblPrEx>
        <w:tc>
          <w:tcPr>
            <w:tcW w:w="2200" w:type="dxa"/>
            <w:tcBorders>
              <w:bottom w:val="single" w:sz="2" w:space="0" w:color="000000"/>
            </w:tcBorders>
            <w:tcMar>
              <w:top w:w="60" w:type="dxa"/>
              <w:left w:w="100" w:type="dxa"/>
              <w:bottom w:w="60" w:type="dxa"/>
              <w:right w:w="100" w:type="dxa"/>
            </w:tcMar>
          </w:tcPr>
          <w:p w14:paraId="50DC63CA" w14:textId="77777777" w:rsidR="00D83A2A" w:rsidRDefault="00000000">
            <w:pPr>
              <w:spacing w:line="276" w:lineRule="auto"/>
            </w:pPr>
            <w:r>
              <w:rPr>
                <w:b/>
                <w:bCs/>
                <w:sz w:val="20"/>
                <w:szCs w:val="20"/>
              </w:rPr>
              <w:t>Variable</w:t>
            </w:r>
          </w:p>
        </w:tc>
        <w:tc>
          <w:tcPr>
            <w:tcW w:w="1600" w:type="dxa"/>
            <w:tcBorders>
              <w:bottom w:val="single" w:sz="2" w:space="0" w:color="000000"/>
            </w:tcBorders>
            <w:tcMar>
              <w:top w:w="60" w:type="dxa"/>
              <w:left w:w="100" w:type="dxa"/>
              <w:bottom w:w="60" w:type="dxa"/>
              <w:right w:w="100" w:type="dxa"/>
            </w:tcMar>
          </w:tcPr>
          <w:p w14:paraId="31ED1B9E" w14:textId="77777777" w:rsidR="00D83A2A" w:rsidRDefault="00000000">
            <w:pPr>
              <w:spacing w:line="276" w:lineRule="auto"/>
            </w:pPr>
            <w:r>
              <w:rPr>
                <w:b/>
                <w:bCs/>
                <w:sz w:val="20"/>
                <w:szCs w:val="20"/>
              </w:rPr>
              <w:t>Type</w:t>
            </w:r>
          </w:p>
        </w:tc>
        <w:tc>
          <w:tcPr>
            <w:tcW w:w="5560" w:type="dxa"/>
            <w:tcBorders>
              <w:bottom w:val="single" w:sz="2" w:space="0" w:color="000000"/>
            </w:tcBorders>
            <w:tcMar>
              <w:top w:w="60" w:type="dxa"/>
              <w:left w:w="100" w:type="dxa"/>
              <w:bottom w:w="60" w:type="dxa"/>
              <w:right w:w="100" w:type="dxa"/>
            </w:tcMar>
          </w:tcPr>
          <w:p w14:paraId="70495111" w14:textId="77777777" w:rsidR="00D83A2A" w:rsidRDefault="00000000">
            <w:pPr>
              <w:spacing w:line="276" w:lineRule="auto"/>
            </w:pPr>
            <w:r>
              <w:rPr>
                <w:b/>
                <w:bCs/>
                <w:sz w:val="20"/>
                <w:szCs w:val="20"/>
              </w:rPr>
              <w:t>Description</w:t>
            </w:r>
          </w:p>
        </w:tc>
      </w:tr>
      <w:tr w:rsidR="00D83A2A" w14:paraId="46C7DF23" w14:textId="77777777">
        <w:tblPrEx>
          <w:tblCellMar>
            <w:top w:w="0" w:type="dxa"/>
            <w:bottom w:w="0" w:type="dxa"/>
          </w:tblCellMar>
        </w:tblPrEx>
        <w:tc>
          <w:tcPr>
            <w:tcW w:w="2200" w:type="dxa"/>
            <w:tcMar>
              <w:top w:w="60" w:type="dxa"/>
              <w:left w:w="100" w:type="dxa"/>
              <w:bottom w:w="60" w:type="dxa"/>
              <w:right w:w="100" w:type="dxa"/>
            </w:tcMar>
          </w:tcPr>
          <w:p w14:paraId="739CC162" w14:textId="77777777" w:rsidR="00D83A2A" w:rsidRDefault="00000000">
            <w:pPr>
              <w:spacing w:line="276" w:lineRule="auto"/>
            </w:pPr>
            <w:r>
              <w:rPr>
                <w:sz w:val="20"/>
                <w:szCs w:val="20"/>
              </w:rPr>
              <w:t>final_result</w:t>
            </w:r>
          </w:p>
        </w:tc>
        <w:tc>
          <w:tcPr>
            <w:tcW w:w="1600" w:type="dxa"/>
            <w:tcMar>
              <w:top w:w="60" w:type="dxa"/>
              <w:left w:w="100" w:type="dxa"/>
              <w:bottom w:w="60" w:type="dxa"/>
              <w:right w:w="100" w:type="dxa"/>
            </w:tcMar>
          </w:tcPr>
          <w:p w14:paraId="5FB3D4AB" w14:textId="77777777" w:rsidR="00D83A2A" w:rsidRDefault="00000000">
            <w:pPr>
              <w:spacing w:line="276" w:lineRule="auto"/>
            </w:pPr>
            <w:r>
              <w:rPr>
                <w:sz w:val="20"/>
                <w:szCs w:val="20"/>
              </w:rPr>
              <w:t>Categorical</w:t>
            </w:r>
          </w:p>
        </w:tc>
        <w:tc>
          <w:tcPr>
            <w:tcW w:w="5560" w:type="dxa"/>
            <w:tcMar>
              <w:top w:w="60" w:type="dxa"/>
              <w:left w:w="100" w:type="dxa"/>
              <w:bottom w:w="60" w:type="dxa"/>
              <w:right w:w="100" w:type="dxa"/>
            </w:tcMar>
          </w:tcPr>
          <w:p w14:paraId="10F29EEF" w14:textId="77777777" w:rsidR="00D83A2A" w:rsidRDefault="00000000">
            <w:pPr>
              <w:spacing w:line="276" w:lineRule="auto"/>
            </w:pPr>
            <w:r>
              <w:rPr>
                <w:sz w:val="20"/>
                <w:szCs w:val="20"/>
              </w:rPr>
              <w:t>Course outcome; used to derive binary target</w:t>
            </w:r>
          </w:p>
        </w:tc>
      </w:tr>
      <w:tr w:rsidR="00D83A2A" w14:paraId="25523895" w14:textId="77777777">
        <w:tblPrEx>
          <w:tblCellMar>
            <w:top w:w="0" w:type="dxa"/>
            <w:bottom w:w="0" w:type="dxa"/>
          </w:tblCellMar>
        </w:tblPrEx>
        <w:tc>
          <w:tcPr>
            <w:tcW w:w="2200" w:type="dxa"/>
            <w:tcMar>
              <w:top w:w="60" w:type="dxa"/>
              <w:left w:w="100" w:type="dxa"/>
              <w:bottom w:w="60" w:type="dxa"/>
              <w:right w:w="100" w:type="dxa"/>
            </w:tcMar>
          </w:tcPr>
          <w:p w14:paraId="7CC810E9" w14:textId="77777777" w:rsidR="00D83A2A" w:rsidRDefault="00000000">
            <w:pPr>
              <w:spacing w:line="276" w:lineRule="auto"/>
            </w:pPr>
            <w:r>
              <w:rPr>
                <w:sz w:val="20"/>
                <w:szCs w:val="20"/>
              </w:rPr>
              <w:t>studied_credits</w:t>
            </w:r>
          </w:p>
        </w:tc>
        <w:tc>
          <w:tcPr>
            <w:tcW w:w="1600" w:type="dxa"/>
            <w:tcMar>
              <w:top w:w="60" w:type="dxa"/>
              <w:left w:w="100" w:type="dxa"/>
              <w:bottom w:w="60" w:type="dxa"/>
              <w:right w:w="100" w:type="dxa"/>
            </w:tcMar>
          </w:tcPr>
          <w:p w14:paraId="223DBAA0" w14:textId="77777777" w:rsidR="00D83A2A" w:rsidRDefault="00000000">
            <w:pPr>
              <w:spacing w:line="276" w:lineRule="auto"/>
            </w:pPr>
            <w:r>
              <w:rPr>
                <w:sz w:val="20"/>
                <w:szCs w:val="20"/>
              </w:rPr>
              <w:t>Numeric</w:t>
            </w:r>
          </w:p>
        </w:tc>
        <w:tc>
          <w:tcPr>
            <w:tcW w:w="5560" w:type="dxa"/>
            <w:tcMar>
              <w:top w:w="60" w:type="dxa"/>
              <w:left w:w="100" w:type="dxa"/>
              <w:bottom w:w="60" w:type="dxa"/>
              <w:right w:w="100" w:type="dxa"/>
            </w:tcMar>
          </w:tcPr>
          <w:p w14:paraId="352D48E5" w14:textId="77777777" w:rsidR="00D83A2A" w:rsidRDefault="00000000">
            <w:pPr>
              <w:spacing w:line="276" w:lineRule="auto"/>
            </w:pPr>
            <w:r>
              <w:rPr>
                <w:sz w:val="20"/>
                <w:szCs w:val="20"/>
              </w:rPr>
              <w:t>Number of credits the student is registered for</w:t>
            </w:r>
          </w:p>
        </w:tc>
      </w:tr>
      <w:tr w:rsidR="00D83A2A" w14:paraId="3929570D" w14:textId="77777777">
        <w:tblPrEx>
          <w:tblCellMar>
            <w:top w:w="0" w:type="dxa"/>
            <w:bottom w:w="0" w:type="dxa"/>
          </w:tblCellMar>
        </w:tblPrEx>
        <w:tc>
          <w:tcPr>
            <w:tcW w:w="2200" w:type="dxa"/>
            <w:tcMar>
              <w:top w:w="60" w:type="dxa"/>
              <w:left w:w="100" w:type="dxa"/>
              <w:bottom w:w="60" w:type="dxa"/>
              <w:right w:w="100" w:type="dxa"/>
            </w:tcMar>
          </w:tcPr>
          <w:p w14:paraId="5E51793B" w14:textId="77777777" w:rsidR="00D83A2A" w:rsidRDefault="00000000">
            <w:pPr>
              <w:spacing w:line="276" w:lineRule="auto"/>
            </w:pPr>
            <w:r>
              <w:rPr>
                <w:sz w:val="20"/>
                <w:szCs w:val="20"/>
              </w:rPr>
              <w:t>date_registration</w:t>
            </w:r>
          </w:p>
        </w:tc>
        <w:tc>
          <w:tcPr>
            <w:tcW w:w="1600" w:type="dxa"/>
            <w:tcMar>
              <w:top w:w="60" w:type="dxa"/>
              <w:left w:w="100" w:type="dxa"/>
              <w:bottom w:w="60" w:type="dxa"/>
              <w:right w:w="100" w:type="dxa"/>
            </w:tcMar>
          </w:tcPr>
          <w:p w14:paraId="76A4A2BF" w14:textId="77777777" w:rsidR="00D83A2A" w:rsidRDefault="00000000">
            <w:pPr>
              <w:spacing w:line="276" w:lineRule="auto"/>
            </w:pPr>
            <w:r>
              <w:rPr>
                <w:sz w:val="20"/>
                <w:szCs w:val="20"/>
              </w:rPr>
              <w:t>Numeric</w:t>
            </w:r>
          </w:p>
        </w:tc>
        <w:tc>
          <w:tcPr>
            <w:tcW w:w="5560" w:type="dxa"/>
            <w:tcMar>
              <w:top w:w="60" w:type="dxa"/>
              <w:left w:w="100" w:type="dxa"/>
              <w:bottom w:w="60" w:type="dxa"/>
              <w:right w:w="100" w:type="dxa"/>
            </w:tcMar>
          </w:tcPr>
          <w:p w14:paraId="2504832F" w14:textId="77777777" w:rsidR="00D83A2A" w:rsidRDefault="00000000">
            <w:pPr>
              <w:spacing w:line="276" w:lineRule="auto"/>
            </w:pPr>
            <w:r>
              <w:rPr>
                <w:sz w:val="20"/>
                <w:szCs w:val="20"/>
              </w:rPr>
              <w:t>Days relative to course start when student registered</w:t>
            </w:r>
          </w:p>
        </w:tc>
      </w:tr>
      <w:tr w:rsidR="00D83A2A" w14:paraId="212FCC1F" w14:textId="77777777">
        <w:tblPrEx>
          <w:tblCellMar>
            <w:top w:w="0" w:type="dxa"/>
            <w:bottom w:w="0" w:type="dxa"/>
          </w:tblCellMar>
        </w:tblPrEx>
        <w:tc>
          <w:tcPr>
            <w:tcW w:w="2200" w:type="dxa"/>
            <w:tcMar>
              <w:top w:w="60" w:type="dxa"/>
              <w:left w:w="100" w:type="dxa"/>
              <w:bottom w:w="60" w:type="dxa"/>
              <w:right w:w="100" w:type="dxa"/>
            </w:tcMar>
          </w:tcPr>
          <w:p w14:paraId="01FD5150" w14:textId="77777777" w:rsidR="00D83A2A" w:rsidRDefault="00000000">
            <w:pPr>
              <w:spacing w:line="276" w:lineRule="auto"/>
            </w:pPr>
            <w:r>
              <w:rPr>
                <w:sz w:val="20"/>
                <w:szCs w:val="20"/>
              </w:rPr>
              <w:t>imd_band</w:t>
            </w:r>
          </w:p>
        </w:tc>
        <w:tc>
          <w:tcPr>
            <w:tcW w:w="1600" w:type="dxa"/>
            <w:tcMar>
              <w:top w:w="60" w:type="dxa"/>
              <w:left w:w="100" w:type="dxa"/>
              <w:bottom w:w="60" w:type="dxa"/>
              <w:right w:w="100" w:type="dxa"/>
            </w:tcMar>
          </w:tcPr>
          <w:p w14:paraId="6E251764" w14:textId="77777777" w:rsidR="00D83A2A" w:rsidRDefault="00000000">
            <w:pPr>
              <w:spacing w:line="276" w:lineRule="auto"/>
            </w:pPr>
            <w:r>
              <w:rPr>
                <w:sz w:val="20"/>
                <w:szCs w:val="20"/>
              </w:rPr>
              <w:t>Categorical</w:t>
            </w:r>
          </w:p>
        </w:tc>
        <w:tc>
          <w:tcPr>
            <w:tcW w:w="5560" w:type="dxa"/>
            <w:tcMar>
              <w:top w:w="60" w:type="dxa"/>
              <w:left w:w="100" w:type="dxa"/>
              <w:bottom w:w="60" w:type="dxa"/>
              <w:right w:w="100" w:type="dxa"/>
            </w:tcMar>
          </w:tcPr>
          <w:p w14:paraId="1FFF536A" w14:textId="77777777" w:rsidR="00D83A2A" w:rsidRDefault="00000000">
            <w:pPr>
              <w:spacing w:line="276" w:lineRule="auto"/>
            </w:pPr>
            <w:r>
              <w:rPr>
                <w:sz w:val="20"/>
                <w:szCs w:val="20"/>
              </w:rPr>
              <w:t>Index of Multiple Deprivation band (socioeconomic indicator)</w:t>
            </w:r>
          </w:p>
        </w:tc>
      </w:tr>
      <w:tr w:rsidR="00D83A2A" w14:paraId="65C0ECF8" w14:textId="77777777">
        <w:tblPrEx>
          <w:tblCellMar>
            <w:top w:w="0" w:type="dxa"/>
            <w:bottom w:w="0" w:type="dxa"/>
          </w:tblCellMar>
        </w:tblPrEx>
        <w:tc>
          <w:tcPr>
            <w:tcW w:w="2200" w:type="dxa"/>
            <w:tcMar>
              <w:top w:w="60" w:type="dxa"/>
              <w:left w:w="100" w:type="dxa"/>
              <w:bottom w:w="60" w:type="dxa"/>
              <w:right w:w="100" w:type="dxa"/>
            </w:tcMar>
          </w:tcPr>
          <w:p w14:paraId="41B68718" w14:textId="77777777" w:rsidR="00D83A2A" w:rsidRDefault="00000000">
            <w:pPr>
              <w:spacing w:line="276" w:lineRule="auto"/>
            </w:pPr>
            <w:r>
              <w:rPr>
                <w:sz w:val="20"/>
                <w:szCs w:val="20"/>
              </w:rPr>
              <w:t>highest_education</w:t>
            </w:r>
          </w:p>
        </w:tc>
        <w:tc>
          <w:tcPr>
            <w:tcW w:w="1600" w:type="dxa"/>
            <w:tcMar>
              <w:top w:w="60" w:type="dxa"/>
              <w:left w:w="100" w:type="dxa"/>
              <w:bottom w:w="60" w:type="dxa"/>
              <w:right w:w="100" w:type="dxa"/>
            </w:tcMar>
          </w:tcPr>
          <w:p w14:paraId="126988A6" w14:textId="77777777" w:rsidR="00D83A2A" w:rsidRDefault="00000000">
            <w:pPr>
              <w:spacing w:line="276" w:lineRule="auto"/>
            </w:pPr>
            <w:r>
              <w:rPr>
                <w:sz w:val="20"/>
                <w:szCs w:val="20"/>
              </w:rPr>
              <w:t>Categorical</w:t>
            </w:r>
          </w:p>
        </w:tc>
        <w:tc>
          <w:tcPr>
            <w:tcW w:w="5560" w:type="dxa"/>
            <w:tcMar>
              <w:top w:w="60" w:type="dxa"/>
              <w:left w:w="100" w:type="dxa"/>
              <w:bottom w:w="60" w:type="dxa"/>
              <w:right w:w="100" w:type="dxa"/>
            </w:tcMar>
          </w:tcPr>
          <w:p w14:paraId="75AC157A" w14:textId="77777777" w:rsidR="00D83A2A" w:rsidRDefault="00000000">
            <w:pPr>
              <w:spacing w:line="276" w:lineRule="auto"/>
            </w:pPr>
            <w:r>
              <w:rPr>
                <w:sz w:val="20"/>
                <w:szCs w:val="20"/>
              </w:rPr>
              <w:t>Highest education level completed prior to enrollment</w:t>
            </w:r>
          </w:p>
        </w:tc>
      </w:tr>
      <w:tr w:rsidR="00D83A2A" w14:paraId="08BAE247" w14:textId="77777777">
        <w:tblPrEx>
          <w:tblCellMar>
            <w:top w:w="0" w:type="dxa"/>
            <w:bottom w:w="0" w:type="dxa"/>
          </w:tblCellMar>
        </w:tblPrEx>
        <w:tc>
          <w:tcPr>
            <w:tcW w:w="2200" w:type="dxa"/>
            <w:tcMar>
              <w:top w:w="60" w:type="dxa"/>
              <w:left w:w="100" w:type="dxa"/>
              <w:bottom w:w="60" w:type="dxa"/>
              <w:right w:w="100" w:type="dxa"/>
            </w:tcMar>
          </w:tcPr>
          <w:p w14:paraId="354FC57A" w14:textId="77777777" w:rsidR="00D83A2A" w:rsidRDefault="00000000">
            <w:pPr>
              <w:spacing w:line="276" w:lineRule="auto"/>
            </w:pPr>
            <w:r>
              <w:rPr>
                <w:sz w:val="20"/>
                <w:szCs w:val="20"/>
              </w:rPr>
              <w:t>total_clicks</w:t>
            </w:r>
          </w:p>
        </w:tc>
        <w:tc>
          <w:tcPr>
            <w:tcW w:w="1600" w:type="dxa"/>
            <w:tcMar>
              <w:top w:w="60" w:type="dxa"/>
              <w:left w:w="100" w:type="dxa"/>
              <w:bottom w:w="60" w:type="dxa"/>
              <w:right w:w="100" w:type="dxa"/>
            </w:tcMar>
          </w:tcPr>
          <w:p w14:paraId="5057BBED" w14:textId="77777777" w:rsidR="00D83A2A" w:rsidRDefault="00000000">
            <w:pPr>
              <w:spacing w:line="276" w:lineRule="auto"/>
            </w:pPr>
            <w:r>
              <w:rPr>
                <w:sz w:val="20"/>
                <w:szCs w:val="20"/>
              </w:rPr>
              <w:t>Numeric</w:t>
            </w:r>
          </w:p>
        </w:tc>
        <w:tc>
          <w:tcPr>
            <w:tcW w:w="5560" w:type="dxa"/>
            <w:tcMar>
              <w:top w:w="60" w:type="dxa"/>
              <w:left w:w="100" w:type="dxa"/>
              <w:bottom w:w="60" w:type="dxa"/>
              <w:right w:w="100" w:type="dxa"/>
            </w:tcMar>
          </w:tcPr>
          <w:p w14:paraId="50D14E6F" w14:textId="77777777" w:rsidR="00D83A2A" w:rsidRDefault="00000000">
            <w:pPr>
              <w:spacing w:line="276" w:lineRule="auto"/>
            </w:pPr>
            <w:r>
              <w:rPr>
                <w:sz w:val="20"/>
                <w:szCs w:val="20"/>
              </w:rPr>
              <w:t>Total VLE clicks within Day 30 window</w:t>
            </w:r>
          </w:p>
        </w:tc>
      </w:tr>
      <w:tr w:rsidR="00D83A2A" w14:paraId="46BDA952" w14:textId="77777777">
        <w:tblPrEx>
          <w:tblCellMar>
            <w:top w:w="0" w:type="dxa"/>
            <w:bottom w:w="0" w:type="dxa"/>
          </w:tblCellMar>
        </w:tblPrEx>
        <w:tc>
          <w:tcPr>
            <w:tcW w:w="2200" w:type="dxa"/>
            <w:tcMar>
              <w:top w:w="60" w:type="dxa"/>
              <w:left w:w="100" w:type="dxa"/>
              <w:bottom w:w="60" w:type="dxa"/>
              <w:right w:w="100" w:type="dxa"/>
            </w:tcMar>
          </w:tcPr>
          <w:p w14:paraId="04876B21" w14:textId="77777777" w:rsidR="00D83A2A" w:rsidRDefault="00000000">
            <w:pPr>
              <w:spacing w:line="276" w:lineRule="auto"/>
            </w:pPr>
            <w:r>
              <w:rPr>
                <w:sz w:val="20"/>
                <w:szCs w:val="20"/>
              </w:rPr>
              <w:t>active_days</w:t>
            </w:r>
          </w:p>
        </w:tc>
        <w:tc>
          <w:tcPr>
            <w:tcW w:w="1600" w:type="dxa"/>
            <w:tcMar>
              <w:top w:w="60" w:type="dxa"/>
              <w:left w:w="100" w:type="dxa"/>
              <w:bottom w:w="60" w:type="dxa"/>
              <w:right w:w="100" w:type="dxa"/>
            </w:tcMar>
          </w:tcPr>
          <w:p w14:paraId="5A258057" w14:textId="77777777" w:rsidR="00D83A2A" w:rsidRDefault="00000000">
            <w:pPr>
              <w:spacing w:line="276" w:lineRule="auto"/>
            </w:pPr>
            <w:r>
              <w:rPr>
                <w:sz w:val="20"/>
                <w:szCs w:val="20"/>
              </w:rPr>
              <w:t>Numeric</w:t>
            </w:r>
          </w:p>
        </w:tc>
        <w:tc>
          <w:tcPr>
            <w:tcW w:w="5560" w:type="dxa"/>
            <w:tcMar>
              <w:top w:w="60" w:type="dxa"/>
              <w:left w:w="100" w:type="dxa"/>
              <w:bottom w:w="60" w:type="dxa"/>
              <w:right w:w="100" w:type="dxa"/>
            </w:tcMar>
          </w:tcPr>
          <w:p w14:paraId="6BB98203" w14:textId="77777777" w:rsidR="00D83A2A" w:rsidRDefault="00000000">
            <w:pPr>
              <w:spacing w:line="276" w:lineRule="auto"/>
            </w:pPr>
            <w:r>
              <w:rPr>
                <w:sz w:val="20"/>
                <w:szCs w:val="20"/>
              </w:rPr>
              <w:t>Distinct days with VLE activity within Day 30 window</w:t>
            </w:r>
          </w:p>
        </w:tc>
      </w:tr>
      <w:tr w:rsidR="00D83A2A" w14:paraId="297B5F60" w14:textId="77777777">
        <w:tblPrEx>
          <w:tblCellMar>
            <w:top w:w="0" w:type="dxa"/>
            <w:bottom w:w="0" w:type="dxa"/>
          </w:tblCellMar>
        </w:tblPrEx>
        <w:tc>
          <w:tcPr>
            <w:tcW w:w="2200" w:type="dxa"/>
            <w:tcMar>
              <w:top w:w="60" w:type="dxa"/>
              <w:left w:w="100" w:type="dxa"/>
              <w:bottom w:w="60" w:type="dxa"/>
              <w:right w:w="100" w:type="dxa"/>
            </w:tcMar>
          </w:tcPr>
          <w:p w14:paraId="75158EC5" w14:textId="77777777" w:rsidR="00D83A2A" w:rsidRDefault="00000000">
            <w:pPr>
              <w:spacing w:line="276" w:lineRule="auto"/>
            </w:pPr>
            <w:r>
              <w:rPr>
                <w:sz w:val="20"/>
                <w:szCs w:val="20"/>
              </w:rPr>
              <w:lastRenderedPageBreak/>
              <w:t>avg_score</w:t>
            </w:r>
          </w:p>
        </w:tc>
        <w:tc>
          <w:tcPr>
            <w:tcW w:w="1600" w:type="dxa"/>
            <w:tcMar>
              <w:top w:w="60" w:type="dxa"/>
              <w:left w:w="100" w:type="dxa"/>
              <w:bottom w:w="60" w:type="dxa"/>
              <w:right w:w="100" w:type="dxa"/>
            </w:tcMar>
          </w:tcPr>
          <w:p w14:paraId="57130F8E" w14:textId="77777777" w:rsidR="00D83A2A" w:rsidRDefault="00000000">
            <w:pPr>
              <w:spacing w:line="276" w:lineRule="auto"/>
            </w:pPr>
            <w:r>
              <w:rPr>
                <w:sz w:val="20"/>
                <w:szCs w:val="20"/>
              </w:rPr>
              <w:t>Numeric</w:t>
            </w:r>
          </w:p>
        </w:tc>
        <w:tc>
          <w:tcPr>
            <w:tcW w:w="5560" w:type="dxa"/>
            <w:tcMar>
              <w:top w:w="60" w:type="dxa"/>
              <w:left w:w="100" w:type="dxa"/>
              <w:bottom w:w="60" w:type="dxa"/>
              <w:right w:w="100" w:type="dxa"/>
            </w:tcMar>
          </w:tcPr>
          <w:p w14:paraId="11489B52" w14:textId="77777777" w:rsidR="00D83A2A" w:rsidRDefault="00000000">
            <w:pPr>
              <w:spacing w:line="276" w:lineRule="auto"/>
            </w:pPr>
            <w:r>
              <w:rPr>
                <w:sz w:val="20"/>
                <w:szCs w:val="20"/>
              </w:rPr>
              <w:t>Mean assessment score within Day 30 window</w:t>
            </w:r>
          </w:p>
        </w:tc>
      </w:tr>
      <w:tr w:rsidR="00D83A2A" w14:paraId="3E63754F" w14:textId="77777777">
        <w:tblPrEx>
          <w:tblCellMar>
            <w:top w:w="0" w:type="dxa"/>
            <w:bottom w:w="0" w:type="dxa"/>
          </w:tblCellMar>
        </w:tblPrEx>
        <w:tc>
          <w:tcPr>
            <w:tcW w:w="2200" w:type="dxa"/>
            <w:tcBorders>
              <w:bottom w:val="single" w:sz="4" w:space="0" w:color="000000"/>
            </w:tcBorders>
            <w:tcMar>
              <w:top w:w="60" w:type="dxa"/>
              <w:left w:w="100" w:type="dxa"/>
              <w:bottom w:w="60" w:type="dxa"/>
              <w:right w:w="100" w:type="dxa"/>
            </w:tcMar>
          </w:tcPr>
          <w:p w14:paraId="7D069D65" w14:textId="77777777" w:rsidR="00D83A2A" w:rsidRDefault="00000000">
            <w:pPr>
              <w:spacing w:line="276" w:lineRule="auto"/>
            </w:pPr>
            <w:r>
              <w:rPr>
                <w:sz w:val="20"/>
                <w:szCs w:val="20"/>
              </w:rPr>
              <w:t>last_activity</w:t>
            </w:r>
          </w:p>
        </w:tc>
        <w:tc>
          <w:tcPr>
            <w:tcW w:w="1600" w:type="dxa"/>
            <w:tcBorders>
              <w:bottom w:val="single" w:sz="4" w:space="0" w:color="000000"/>
            </w:tcBorders>
            <w:tcMar>
              <w:top w:w="60" w:type="dxa"/>
              <w:left w:w="100" w:type="dxa"/>
              <w:bottom w:w="60" w:type="dxa"/>
              <w:right w:w="100" w:type="dxa"/>
            </w:tcMar>
          </w:tcPr>
          <w:p w14:paraId="01D11C63" w14:textId="77777777" w:rsidR="00D83A2A" w:rsidRDefault="00000000">
            <w:pPr>
              <w:spacing w:line="276" w:lineRule="auto"/>
            </w:pPr>
            <w:r>
              <w:rPr>
                <w:sz w:val="20"/>
                <w:szCs w:val="20"/>
              </w:rPr>
              <w:t>Numeric</w:t>
            </w:r>
          </w:p>
        </w:tc>
        <w:tc>
          <w:tcPr>
            <w:tcW w:w="5560" w:type="dxa"/>
            <w:tcBorders>
              <w:bottom w:val="single" w:sz="4" w:space="0" w:color="000000"/>
            </w:tcBorders>
            <w:tcMar>
              <w:top w:w="60" w:type="dxa"/>
              <w:left w:w="100" w:type="dxa"/>
              <w:bottom w:w="60" w:type="dxa"/>
              <w:right w:w="100" w:type="dxa"/>
            </w:tcMar>
          </w:tcPr>
          <w:p w14:paraId="4E3ABCA2" w14:textId="77777777" w:rsidR="00D83A2A" w:rsidRDefault="00000000">
            <w:pPr>
              <w:spacing w:line="276" w:lineRule="auto"/>
            </w:pPr>
            <w:r>
              <w:rPr>
                <w:sz w:val="20"/>
                <w:szCs w:val="20"/>
              </w:rPr>
              <w:t>Most recent day of VLE activity within Day 30 window</w:t>
            </w:r>
          </w:p>
        </w:tc>
      </w:tr>
    </w:tbl>
    <w:p w14:paraId="08983C1B" w14:textId="77777777" w:rsidR="00D83A2A" w:rsidRDefault="00D83A2A">
      <w:pPr>
        <w:spacing w:after="200"/>
      </w:pPr>
    </w:p>
    <w:p w14:paraId="53469A92" w14:textId="77777777" w:rsidR="00D83A2A" w:rsidRDefault="00000000">
      <w:pPr>
        <w:spacing w:before="240" w:line="480" w:lineRule="auto"/>
      </w:pPr>
      <w:r>
        <w:rPr>
          <w:b/>
          <w:bCs/>
        </w:rPr>
        <w:t>Data Cleaning</w:t>
      </w:r>
    </w:p>
    <w:p w14:paraId="56A4A6CF" w14:textId="77777777" w:rsidR="00D83A2A" w:rsidRDefault="00000000">
      <w:pPr>
        <w:spacing w:line="480" w:lineRule="auto"/>
        <w:ind w:firstLine="720"/>
      </w:pPr>
      <w:r>
        <w:t>Several data quality issues were identified and addressed during preprocessing. The imd_band field contained 1,111 missing values (3.4% of records), which were imputed with the mode to preserve sample size while maintaining the categorical structure. A total of 45 records were missing date_registration values and were removed, as registration timing is a meaningful enrollment signal that cannot be reliably imputed. The date_unregistration field was missing for 22,521 records, which is expected since only students who withdrew have an unregistration date; this field was not used as a feature.</w:t>
      </w:r>
    </w:p>
    <w:p w14:paraId="05A02FE4" w14:textId="77777777" w:rsidR="00D83A2A" w:rsidRDefault="00000000">
      <w:pPr>
        <w:spacing w:line="480" w:lineRule="auto"/>
        <w:ind w:firstLine="720"/>
      </w:pPr>
      <w:r>
        <w:t>The binary target variable was constructed from the final_result column, where Withdrawn was coded as 1 and all other outcomes (Pass, Fail, Distinction) were coded as 0. The resulting withdrawal rate is 31.08%, indicating moderate class imbalance that informed subsequent modeling decisions including class weighting and threshold tuning.</w:t>
      </w:r>
    </w:p>
    <w:p w14:paraId="6D59E563" w14:textId="77777777" w:rsidR="00D83A2A" w:rsidRDefault="00000000">
      <w:pPr>
        <w:spacing w:before="240" w:line="480" w:lineRule="auto"/>
      </w:pPr>
      <w:r>
        <w:rPr>
          <w:b/>
          <w:bCs/>
        </w:rPr>
        <w:t>Feature Engineering</w:t>
      </w:r>
    </w:p>
    <w:p w14:paraId="2CC20392" w14:textId="77777777" w:rsidR="00D83A2A" w:rsidRDefault="00000000">
      <w:pPr>
        <w:spacing w:line="480" w:lineRule="auto"/>
        <w:ind w:firstLine="720"/>
      </w:pPr>
      <w:r>
        <w:t>To support the early-warning prediction framework, all behavioral and assessment features were engineered using only data observed within the first 30 days of each course. This design constraint ensures the model does not use information that would be unavailable at the time of prediction in a real deployment.</w:t>
      </w:r>
    </w:p>
    <w:p w14:paraId="2A0FD494" w14:textId="77777777" w:rsidR="00D83A2A" w:rsidRDefault="00000000">
      <w:pPr>
        <w:spacing w:line="480" w:lineRule="auto"/>
        <w:ind w:firstLine="720"/>
      </w:pPr>
      <w:r>
        <w:t xml:space="preserve">From the VLE interaction logs (10.6 million total records, of which 2.98 million fall within the Day 30 window), four engagement features were aggregated at the student level: total_clicks (sum of all clicks), active_days (count of distinct activity days), avg_clicks_day (mean clicks per active day), and last_activity (most recent activity day observed). From </w:t>
      </w:r>
      <w:r>
        <w:lastRenderedPageBreak/>
        <w:t>assessment submissions (173,912 total records, 26,522 within Day 30), three features were created: avg_score (mean assessment score), num_submitted (count of submissions), and num_unsubmitted (count of banked or unsubmitted assessments). Students with no recorded activity or submissions in the early window were assigned values of 0.</w:t>
      </w:r>
    </w:p>
    <w:p w14:paraId="3C5AF1C1" w14:textId="77777777" w:rsidR="00D83A2A" w:rsidRDefault="00000000">
      <w:pPr>
        <w:spacing w:before="240" w:line="480" w:lineRule="auto"/>
      </w:pPr>
      <w:r>
        <w:rPr>
          <w:b/>
          <w:bCs/>
        </w:rPr>
        <w:t>Exploratory Findings</w:t>
      </w:r>
    </w:p>
    <w:p w14:paraId="07F9579A" w14:textId="77777777" w:rsidR="00D83A2A" w:rsidRDefault="00000000">
      <w:pPr>
        <w:spacing w:line="480" w:lineRule="auto"/>
        <w:ind w:firstLine="720"/>
      </w:pPr>
      <w:r>
        <w:t>Point-biserial correlation analysis revealed that the strongest numeric predictors of withdrawal are last_activity (r = −0.409), avg_score (r = −0.336), and avg_clicks_day (r = −0.263). All early engagement features show negative correlations with withdrawal, meaning lower engagement is associated with higher dropout risk. Among categorical variables, highest_education showed the strongest association with withdrawal (Cramér’s V = 0.079), followed by region (0.077) and imd_band (0.071).</w:t>
      </w:r>
    </w:p>
    <w:p w14:paraId="03A2644C" w14:textId="77777777" w:rsidR="00D83A2A" w:rsidRDefault="00000000">
      <w:pPr>
        <w:spacing w:line="480" w:lineRule="auto"/>
        <w:ind w:firstLine="720"/>
      </w:pPr>
      <w:r>
        <w:t>Box plot comparisons confirmed that students who withdrew exhibited consistently lower total clicks, fewer active days, and fewer assessment submissions within the Day 30 window compared to students who stayed. These patterns validate the use of early behavioral features as predictive signals and support the feasibility of an early-warning approach.</w:t>
      </w:r>
    </w:p>
    <w:p w14:paraId="07EE77AD" w14:textId="77777777" w:rsidR="00D83A2A" w:rsidRDefault="00000000">
      <w:r>
        <w:br w:type="page"/>
      </w:r>
    </w:p>
    <w:p w14:paraId="6271E6EF" w14:textId="77777777" w:rsidR="00D83A2A" w:rsidRDefault="00000000">
      <w:pPr>
        <w:spacing w:before="240" w:line="480" w:lineRule="auto"/>
        <w:jc w:val="center"/>
      </w:pPr>
      <w:r>
        <w:rPr>
          <w:b/>
          <w:bCs/>
        </w:rPr>
        <w:lastRenderedPageBreak/>
        <w:t>Methodology</w:t>
      </w:r>
    </w:p>
    <w:p w14:paraId="46B55CC7" w14:textId="77777777" w:rsidR="00D83A2A" w:rsidRDefault="00000000">
      <w:pPr>
        <w:spacing w:before="240" w:line="480" w:lineRule="auto"/>
      </w:pPr>
      <w:r>
        <w:rPr>
          <w:b/>
          <w:bCs/>
        </w:rPr>
        <w:t>Prediction Framing</w:t>
      </w:r>
    </w:p>
    <w:p w14:paraId="36B52518" w14:textId="77777777" w:rsidR="00D83A2A" w:rsidRDefault="00000000">
      <w:pPr>
        <w:spacing w:line="480" w:lineRule="auto"/>
        <w:ind w:firstLine="720"/>
      </w:pPr>
      <w:r>
        <w:t>The prediction task is framed as binary classification: given features available at Day 30, predict whether a student will withdraw (target = 1) or not (target = 0). This framing reflects the operational use case of an early-warning system, where predictions must be generated early enough to enable meaningful intervention.</w:t>
      </w:r>
    </w:p>
    <w:p w14:paraId="5E5CEBA6" w14:textId="77777777" w:rsidR="00D83A2A" w:rsidRDefault="00000000">
      <w:pPr>
        <w:spacing w:line="480" w:lineRule="auto"/>
        <w:ind w:firstLine="720"/>
      </w:pPr>
      <w:r>
        <w:t>The final feature matrix contains 36 columns after one-hot encoding of categorical variables (highest_education, region, imd_band, disability), combined with numeric enrollment features (studied_credits, date_registration, num_of_prev_attempts) and the seven early behavioral features described previously.</w:t>
      </w:r>
    </w:p>
    <w:p w14:paraId="2DC928A8" w14:textId="77777777" w:rsidR="00D83A2A" w:rsidRDefault="00000000">
      <w:pPr>
        <w:spacing w:before="240" w:line="480" w:lineRule="auto"/>
      </w:pPr>
      <w:r>
        <w:rPr>
          <w:b/>
          <w:bCs/>
        </w:rPr>
        <w:t>Train–Test Split</w:t>
      </w:r>
    </w:p>
    <w:p w14:paraId="19297758" w14:textId="77777777" w:rsidR="00D83A2A" w:rsidRDefault="00000000">
      <w:pPr>
        <w:spacing w:line="480" w:lineRule="auto"/>
        <w:ind w:firstLine="720"/>
      </w:pPr>
      <w:r>
        <w:t>The dataset was split into 80% training (26,038 records) and 20% test (6,510 records) using stratified sampling to preserve the class distribution. The training set withdrawal rate is 31.08% and the test set rate is 31.09%, confirming consistent stratification. All model training and hyperparameter tuning were performed on the training set, with the test set reserved exclusively for final evaluation.</w:t>
      </w:r>
    </w:p>
    <w:p w14:paraId="66D43B4A" w14:textId="77777777" w:rsidR="00D83A2A" w:rsidRDefault="00000000">
      <w:pPr>
        <w:spacing w:before="240" w:line="480" w:lineRule="auto"/>
      </w:pPr>
      <w:r>
        <w:rPr>
          <w:b/>
          <w:bCs/>
        </w:rPr>
        <w:t>Models Evaluated</w:t>
      </w:r>
    </w:p>
    <w:p w14:paraId="76F37B4B" w14:textId="77777777" w:rsidR="00D83A2A" w:rsidRDefault="00000000">
      <w:pPr>
        <w:spacing w:line="480" w:lineRule="auto"/>
        <w:ind w:firstLine="720"/>
      </w:pPr>
      <w:r>
        <w:t>Six model configurations were trained, evaluated, and tracked using MLflow (Zaharia et al., 2018). The progression was designed to systematically improve predictive performance while documenting each step for reproducibility.</w:t>
      </w:r>
    </w:p>
    <w:p w14:paraId="75CDDE49" w14:textId="77777777" w:rsidR="00D83A2A" w:rsidRDefault="00000000">
      <w:pPr>
        <w:spacing w:line="480" w:lineRule="auto"/>
        <w:ind w:firstLine="720"/>
      </w:pPr>
      <w:r>
        <w:rPr>
          <w:b/>
          <w:bCs/>
        </w:rPr>
        <w:t xml:space="preserve">Logistic regression (baseline). </w:t>
      </w:r>
      <w:r>
        <w:t xml:space="preserve">A linear model with balanced class weighting and max_iter = 2000 served as the initial benchmark. Features were standardized using </w:t>
      </w:r>
      <w:r>
        <w:lastRenderedPageBreak/>
        <w:t>StandardScaler prior to training. This model establishes the minimum expected performance and provides a reference for the added value of more complex approaches.</w:t>
      </w:r>
    </w:p>
    <w:p w14:paraId="75D581E4" w14:textId="77777777" w:rsidR="00D83A2A" w:rsidRDefault="00000000">
      <w:pPr>
        <w:spacing w:line="480" w:lineRule="auto"/>
        <w:ind w:firstLine="720"/>
      </w:pPr>
      <w:r>
        <w:rPr>
          <w:b/>
          <w:bCs/>
        </w:rPr>
        <w:t xml:space="preserve">Random forest (default). </w:t>
      </w:r>
      <w:r>
        <w:t>A default Random Forest classifier with 100 estimators and no class weighting was trained on unscaled features (Breiman, 2001). Tree-based models do not require feature scaling, and this configuration tests whether ensemble methods improve over the linear baseline without any tuning.</w:t>
      </w:r>
    </w:p>
    <w:p w14:paraId="1AE4ECE9" w14:textId="77777777" w:rsidR="00D83A2A" w:rsidRDefault="00000000">
      <w:pPr>
        <w:spacing w:line="480" w:lineRule="auto"/>
        <w:ind w:firstLine="720"/>
      </w:pPr>
      <w:r>
        <w:rPr>
          <w:b/>
          <w:bCs/>
        </w:rPr>
        <w:t xml:space="preserve">Gradient boosting (default). </w:t>
      </w:r>
      <w:r>
        <w:t>A default Gradient Boosting classifier with 100 estimators, learning rate of 0.1, and max depth of 3 was trained to compare sequential boosting against the bagging approach of Random Forest (Friedman, 2001).</w:t>
      </w:r>
    </w:p>
    <w:p w14:paraId="5B615B78" w14:textId="77777777" w:rsidR="00D83A2A" w:rsidRDefault="00000000">
      <w:pPr>
        <w:spacing w:line="480" w:lineRule="auto"/>
        <w:ind w:firstLine="720"/>
      </w:pPr>
      <w:r>
        <w:rPr>
          <w:b/>
          <w:bCs/>
        </w:rPr>
        <w:t xml:space="preserve">Balanced random forest. </w:t>
      </w:r>
      <w:r>
        <w:t>A Random Forest with 300 estimators and balanced class weighting was trained to address the class imbalance observed in the target variable. Class weighting adjusts the loss function to penalize misclassification of the minority class more heavily.</w:t>
      </w:r>
    </w:p>
    <w:p w14:paraId="40FEE69B" w14:textId="77777777" w:rsidR="00D83A2A" w:rsidRDefault="00000000">
      <w:pPr>
        <w:spacing w:line="480" w:lineRule="auto"/>
        <w:ind w:firstLine="720"/>
      </w:pPr>
      <w:r>
        <w:rPr>
          <w:b/>
          <w:bCs/>
        </w:rPr>
        <w:t xml:space="preserve">Tuned balanced random forest. </w:t>
      </w:r>
      <w:r>
        <w:t>A randomized search over 20 parameter configurations with 5-fold cross-validation, scored on recall, was used to optimize the Balanced Random Forest. The best configuration used n_estimators = 200, max_depth = 10, min_samples_split = 5, min_samples_leaf = 4, and max_features = None.</w:t>
      </w:r>
    </w:p>
    <w:p w14:paraId="0DE1A440" w14:textId="77777777" w:rsidR="00D83A2A" w:rsidRDefault="00000000">
      <w:pPr>
        <w:spacing w:line="480" w:lineRule="auto"/>
        <w:ind w:firstLine="720"/>
      </w:pPr>
      <w:r>
        <w:rPr>
          <w:b/>
          <w:bCs/>
        </w:rPr>
        <w:t xml:space="preserve">Tuned gradient boosting. </w:t>
      </w:r>
      <w:r>
        <w:t>A similar randomized search was applied to Gradient Boosting, exploring learning rate, max depth, subsample, and tree structure parameters. The best configuration used n_estimators = 200, learning_rate = 0.2, max_depth = 7, min_samples_split = 5, min_samples_leaf = 4, and subsample = 1.0.</w:t>
      </w:r>
    </w:p>
    <w:p w14:paraId="2466D9DB" w14:textId="77777777" w:rsidR="00D83A2A" w:rsidRDefault="00000000">
      <w:pPr>
        <w:spacing w:before="240" w:line="480" w:lineRule="auto"/>
      </w:pPr>
      <w:r>
        <w:rPr>
          <w:b/>
          <w:bCs/>
        </w:rPr>
        <w:t>Experiment Tracking With MLflow</w:t>
      </w:r>
    </w:p>
    <w:p w14:paraId="18C07FA7" w14:textId="77777777" w:rsidR="00D83A2A" w:rsidRDefault="00000000">
      <w:pPr>
        <w:spacing w:line="480" w:lineRule="auto"/>
        <w:ind w:firstLine="720"/>
      </w:pPr>
      <w:r>
        <w:lastRenderedPageBreak/>
        <w:t>All six model configurations were logged as individual MLflow runs within a single experiment. Each run records the model type, all hyperparameters, evaluation metrics (accuracy, recall, precision, F1, AUC-ROC), and the serialized model artifact. For tuned models, cross-validation scores and tuning metadata (number of iterations, scoring metric, fold count) were also logged. This structured tracking enables reproducible comparison across all experiments and provides a complete audit trail of the model development process.</w:t>
      </w:r>
    </w:p>
    <w:p w14:paraId="2BEDDC05" w14:textId="77777777" w:rsidR="00D83A2A" w:rsidRDefault="00000000">
      <w:pPr>
        <w:spacing w:before="240" w:line="480" w:lineRule="auto"/>
      </w:pPr>
      <w:r>
        <w:rPr>
          <w:b/>
          <w:bCs/>
        </w:rPr>
        <w:t>Threshold Tuning</w:t>
      </w:r>
    </w:p>
    <w:p w14:paraId="5F1E880D" w14:textId="77777777" w:rsidR="00D83A2A" w:rsidRDefault="00000000">
      <w:pPr>
        <w:spacing w:line="480" w:lineRule="auto"/>
        <w:ind w:firstLine="720"/>
      </w:pPr>
      <w:r>
        <w:t>Because the default classification threshold of 0.50 may not align with the operational requirements of an early-warning system, a threshold sensitivity analysis was conducted across the range 0.10 to 0.90 in increments of 0.05. For each threshold, recall, precision, F1, and the number of students flagged were computed. This analysis enables stakeholders to select an operating threshold that matches their intervention capacity and tolerance for false positives.</w:t>
      </w:r>
    </w:p>
    <w:p w14:paraId="31564B91" w14:textId="77777777" w:rsidR="00D83A2A" w:rsidRDefault="00000000">
      <w:r>
        <w:br w:type="page"/>
      </w:r>
    </w:p>
    <w:p w14:paraId="569DC248" w14:textId="77777777" w:rsidR="00D83A2A" w:rsidRDefault="00000000">
      <w:pPr>
        <w:spacing w:before="240" w:line="480" w:lineRule="auto"/>
        <w:jc w:val="center"/>
      </w:pPr>
      <w:r>
        <w:rPr>
          <w:b/>
          <w:bCs/>
        </w:rPr>
        <w:lastRenderedPageBreak/>
        <w:t>Results and Evaluation</w:t>
      </w:r>
    </w:p>
    <w:p w14:paraId="7D331E5E" w14:textId="77777777" w:rsidR="00D83A2A" w:rsidRDefault="00000000">
      <w:pPr>
        <w:spacing w:before="240" w:line="480" w:lineRule="auto"/>
      </w:pPr>
      <w:r>
        <w:rPr>
          <w:b/>
          <w:bCs/>
        </w:rPr>
        <w:t>Model Comparison</w:t>
      </w:r>
    </w:p>
    <w:p w14:paraId="2D20F0AA" w14:textId="77777777" w:rsidR="00D83A2A" w:rsidRDefault="00000000">
      <w:pPr>
        <w:spacing w:line="480" w:lineRule="auto"/>
      </w:pPr>
      <w:r>
        <w:t>Table 2 summarizes the test set performance of all six tracked experiments, sorted by recall for the withdrawal class.</w:t>
      </w:r>
    </w:p>
    <w:p w14:paraId="63BD6E9D" w14:textId="77777777" w:rsidR="00D83A2A" w:rsidRDefault="00000000">
      <w:pPr>
        <w:spacing w:line="480" w:lineRule="auto"/>
      </w:pPr>
      <w:r>
        <w:rPr>
          <w:i/>
          <w:iCs/>
        </w:rPr>
        <w:t>Table 2</w:t>
      </w:r>
    </w:p>
    <w:p w14:paraId="75497A76" w14:textId="77777777" w:rsidR="00D83A2A" w:rsidRDefault="00000000">
      <w:pPr>
        <w:spacing w:line="480" w:lineRule="auto"/>
      </w:pPr>
      <w:r>
        <w:rPr>
          <w:i/>
          <w:iCs/>
        </w:rPr>
        <w:t>Test Set Performance Across All Tracked Experiments</w:t>
      </w:r>
    </w:p>
    <w:p w14:paraId="1EEC039F" w14:textId="77777777" w:rsidR="00D83A2A" w:rsidRDefault="00D83A2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19"/>
        <w:gridCol w:w="1217"/>
        <w:gridCol w:w="1217"/>
        <w:gridCol w:w="1173"/>
        <w:gridCol w:w="1217"/>
        <w:gridCol w:w="1217"/>
      </w:tblGrid>
      <w:tr w:rsidR="00D83A2A" w14:paraId="15CA896D" w14:textId="77777777">
        <w:tblPrEx>
          <w:tblCellMar>
            <w:top w:w="0" w:type="dxa"/>
            <w:bottom w:w="0" w:type="dxa"/>
          </w:tblCellMar>
        </w:tblPrEx>
        <w:tc>
          <w:tcPr>
            <w:tcW w:w="3000" w:type="dxa"/>
            <w:tcBorders>
              <w:bottom w:val="single" w:sz="2" w:space="0" w:color="000000"/>
            </w:tcBorders>
            <w:tcMar>
              <w:top w:w="60" w:type="dxa"/>
              <w:left w:w="100" w:type="dxa"/>
              <w:bottom w:w="60" w:type="dxa"/>
              <w:right w:w="100" w:type="dxa"/>
            </w:tcMar>
          </w:tcPr>
          <w:p w14:paraId="5F539CE3" w14:textId="77777777" w:rsidR="00D83A2A" w:rsidRDefault="00000000">
            <w:pPr>
              <w:spacing w:line="276" w:lineRule="auto"/>
            </w:pPr>
            <w:r>
              <w:rPr>
                <w:b/>
                <w:bCs/>
                <w:sz w:val="20"/>
                <w:szCs w:val="20"/>
              </w:rPr>
              <w:t>Model</w:t>
            </w:r>
          </w:p>
        </w:tc>
        <w:tc>
          <w:tcPr>
            <w:tcW w:w="1100" w:type="dxa"/>
            <w:tcBorders>
              <w:bottom w:val="single" w:sz="2" w:space="0" w:color="000000"/>
            </w:tcBorders>
            <w:tcMar>
              <w:top w:w="60" w:type="dxa"/>
              <w:left w:w="100" w:type="dxa"/>
              <w:bottom w:w="60" w:type="dxa"/>
              <w:right w:w="100" w:type="dxa"/>
            </w:tcMar>
          </w:tcPr>
          <w:p w14:paraId="25B69E29" w14:textId="77777777" w:rsidR="00D83A2A" w:rsidRDefault="00000000">
            <w:pPr>
              <w:spacing w:line="276" w:lineRule="auto"/>
            </w:pPr>
            <w:r>
              <w:rPr>
                <w:b/>
                <w:bCs/>
                <w:sz w:val="20"/>
                <w:szCs w:val="20"/>
              </w:rPr>
              <w:t>Accuracy</w:t>
            </w:r>
          </w:p>
        </w:tc>
        <w:tc>
          <w:tcPr>
            <w:tcW w:w="1100" w:type="dxa"/>
            <w:tcBorders>
              <w:bottom w:val="single" w:sz="2" w:space="0" w:color="000000"/>
            </w:tcBorders>
            <w:tcMar>
              <w:top w:w="60" w:type="dxa"/>
              <w:left w:w="100" w:type="dxa"/>
              <w:bottom w:w="60" w:type="dxa"/>
              <w:right w:w="100" w:type="dxa"/>
            </w:tcMar>
          </w:tcPr>
          <w:p w14:paraId="69DE61BC" w14:textId="77777777" w:rsidR="00D83A2A" w:rsidRDefault="00000000">
            <w:pPr>
              <w:spacing w:line="276" w:lineRule="auto"/>
            </w:pPr>
            <w:r>
              <w:rPr>
                <w:b/>
                <w:bCs/>
                <w:sz w:val="20"/>
                <w:szCs w:val="20"/>
              </w:rPr>
              <w:t>Recall</w:t>
            </w:r>
          </w:p>
        </w:tc>
        <w:tc>
          <w:tcPr>
            <w:tcW w:w="1060" w:type="dxa"/>
            <w:tcBorders>
              <w:bottom w:val="single" w:sz="2" w:space="0" w:color="000000"/>
            </w:tcBorders>
            <w:tcMar>
              <w:top w:w="60" w:type="dxa"/>
              <w:left w:w="100" w:type="dxa"/>
              <w:bottom w:w="60" w:type="dxa"/>
              <w:right w:w="100" w:type="dxa"/>
            </w:tcMar>
          </w:tcPr>
          <w:p w14:paraId="13585725" w14:textId="77777777" w:rsidR="00D83A2A" w:rsidRDefault="00000000">
            <w:pPr>
              <w:spacing w:line="276" w:lineRule="auto"/>
            </w:pPr>
            <w:r>
              <w:rPr>
                <w:b/>
                <w:bCs/>
                <w:sz w:val="20"/>
                <w:szCs w:val="20"/>
              </w:rPr>
              <w:t>Precision</w:t>
            </w:r>
          </w:p>
        </w:tc>
        <w:tc>
          <w:tcPr>
            <w:tcW w:w="1100" w:type="dxa"/>
            <w:tcBorders>
              <w:bottom w:val="single" w:sz="2" w:space="0" w:color="000000"/>
            </w:tcBorders>
            <w:tcMar>
              <w:top w:w="60" w:type="dxa"/>
              <w:left w:w="100" w:type="dxa"/>
              <w:bottom w:w="60" w:type="dxa"/>
              <w:right w:w="100" w:type="dxa"/>
            </w:tcMar>
          </w:tcPr>
          <w:p w14:paraId="3F13E4DB" w14:textId="77777777" w:rsidR="00D83A2A" w:rsidRDefault="00000000">
            <w:pPr>
              <w:spacing w:line="276" w:lineRule="auto"/>
            </w:pPr>
            <w:r>
              <w:rPr>
                <w:b/>
                <w:bCs/>
                <w:sz w:val="20"/>
                <w:szCs w:val="20"/>
              </w:rPr>
              <w:t>F1</w:t>
            </w:r>
          </w:p>
        </w:tc>
        <w:tc>
          <w:tcPr>
            <w:tcW w:w="1100" w:type="dxa"/>
            <w:tcBorders>
              <w:bottom w:val="single" w:sz="2" w:space="0" w:color="000000"/>
            </w:tcBorders>
            <w:tcMar>
              <w:top w:w="60" w:type="dxa"/>
              <w:left w:w="100" w:type="dxa"/>
              <w:bottom w:w="60" w:type="dxa"/>
              <w:right w:w="100" w:type="dxa"/>
            </w:tcMar>
          </w:tcPr>
          <w:p w14:paraId="793F8B28" w14:textId="77777777" w:rsidR="00D83A2A" w:rsidRDefault="00000000">
            <w:pPr>
              <w:spacing w:line="276" w:lineRule="auto"/>
            </w:pPr>
            <w:r>
              <w:rPr>
                <w:b/>
                <w:bCs/>
                <w:sz w:val="20"/>
                <w:szCs w:val="20"/>
              </w:rPr>
              <w:t>AUC</w:t>
            </w:r>
          </w:p>
        </w:tc>
      </w:tr>
      <w:tr w:rsidR="00D83A2A" w14:paraId="52FBA1FC" w14:textId="77777777">
        <w:tblPrEx>
          <w:tblCellMar>
            <w:top w:w="0" w:type="dxa"/>
            <w:bottom w:w="0" w:type="dxa"/>
          </w:tblCellMar>
        </w:tblPrEx>
        <w:tc>
          <w:tcPr>
            <w:tcW w:w="3000" w:type="dxa"/>
            <w:tcMar>
              <w:top w:w="60" w:type="dxa"/>
              <w:left w:w="100" w:type="dxa"/>
              <w:bottom w:w="60" w:type="dxa"/>
              <w:right w:w="100" w:type="dxa"/>
            </w:tcMar>
          </w:tcPr>
          <w:p w14:paraId="1606D2DF" w14:textId="77777777" w:rsidR="00D83A2A" w:rsidRDefault="00000000">
            <w:pPr>
              <w:spacing w:line="276" w:lineRule="auto"/>
            </w:pPr>
            <w:r>
              <w:rPr>
                <w:sz w:val="20"/>
                <w:szCs w:val="20"/>
              </w:rPr>
              <w:t>Baseline logistic regression</w:t>
            </w:r>
          </w:p>
        </w:tc>
        <w:tc>
          <w:tcPr>
            <w:tcW w:w="1100" w:type="dxa"/>
            <w:tcMar>
              <w:top w:w="60" w:type="dxa"/>
              <w:left w:w="100" w:type="dxa"/>
              <w:bottom w:w="60" w:type="dxa"/>
              <w:right w:w="100" w:type="dxa"/>
            </w:tcMar>
          </w:tcPr>
          <w:p w14:paraId="1ED4784D" w14:textId="77777777" w:rsidR="00D83A2A" w:rsidRDefault="00000000">
            <w:pPr>
              <w:spacing w:line="276" w:lineRule="auto"/>
            </w:pPr>
            <w:r>
              <w:rPr>
                <w:sz w:val="20"/>
                <w:szCs w:val="20"/>
              </w:rPr>
              <w:t>.735</w:t>
            </w:r>
          </w:p>
        </w:tc>
        <w:tc>
          <w:tcPr>
            <w:tcW w:w="1100" w:type="dxa"/>
            <w:tcMar>
              <w:top w:w="60" w:type="dxa"/>
              <w:left w:w="100" w:type="dxa"/>
              <w:bottom w:w="60" w:type="dxa"/>
              <w:right w:w="100" w:type="dxa"/>
            </w:tcMar>
          </w:tcPr>
          <w:p w14:paraId="5817D9CB" w14:textId="77777777" w:rsidR="00D83A2A" w:rsidRDefault="00000000">
            <w:pPr>
              <w:spacing w:line="276" w:lineRule="auto"/>
            </w:pPr>
            <w:r>
              <w:rPr>
                <w:sz w:val="20"/>
                <w:szCs w:val="20"/>
              </w:rPr>
              <w:t>.630</w:t>
            </w:r>
          </w:p>
        </w:tc>
        <w:tc>
          <w:tcPr>
            <w:tcW w:w="1060" w:type="dxa"/>
            <w:tcMar>
              <w:top w:w="60" w:type="dxa"/>
              <w:left w:w="100" w:type="dxa"/>
              <w:bottom w:w="60" w:type="dxa"/>
              <w:right w:w="100" w:type="dxa"/>
            </w:tcMar>
          </w:tcPr>
          <w:p w14:paraId="260B26F3" w14:textId="77777777" w:rsidR="00D83A2A" w:rsidRDefault="00000000">
            <w:pPr>
              <w:spacing w:line="276" w:lineRule="auto"/>
            </w:pPr>
            <w:r>
              <w:rPr>
                <w:sz w:val="20"/>
                <w:szCs w:val="20"/>
              </w:rPr>
              <w:t>.566</w:t>
            </w:r>
          </w:p>
        </w:tc>
        <w:tc>
          <w:tcPr>
            <w:tcW w:w="1100" w:type="dxa"/>
            <w:tcMar>
              <w:top w:w="60" w:type="dxa"/>
              <w:left w:w="100" w:type="dxa"/>
              <w:bottom w:w="60" w:type="dxa"/>
              <w:right w:w="100" w:type="dxa"/>
            </w:tcMar>
          </w:tcPr>
          <w:p w14:paraId="14E208D4" w14:textId="77777777" w:rsidR="00D83A2A" w:rsidRDefault="00000000">
            <w:pPr>
              <w:spacing w:line="276" w:lineRule="auto"/>
            </w:pPr>
            <w:r>
              <w:rPr>
                <w:sz w:val="20"/>
                <w:szCs w:val="20"/>
              </w:rPr>
              <w:t>.596</w:t>
            </w:r>
          </w:p>
        </w:tc>
        <w:tc>
          <w:tcPr>
            <w:tcW w:w="1100" w:type="dxa"/>
            <w:tcMar>
              <w:top w:w="60" w:type="dxa"/>
              <w:left w:w="100" w:type="dxa"/>
              <w:bottom w:w="60" w:type="dxa"/>
              <w:right w:w="100" w:type="dxa"/>
            </w:tcMar>
          </w:tcPr>
          <w:p w14:paraId="3E796A9B" w14:textId="77777777" w:rsidR="00D83A2A" w:rsidRDefault="00000000">
            <w:pPr>
              <w:spacing w:line="276" w:lineRule="auto"/>
            </w:pPr>
            <w:r>
              <w:rPr>
                <w:sz w:val="20"/>
                <w:szCs w:val="20"/>
              </w:rPr>
              <w:t>.775</w:t>
            </w:r>
          </w:p>
        </w:tc>
      </w:tr>
      <w:tr w:rsidR="00D83A2A" w14:paraId="4895F260" w14:textId="77777777">
        <w:tblPrEx>
          <w:tblCellMar>
            <w:top w:w="0" w:type="dxa"/>
            <w:bottom w:w="0" w:type="dxa"/>
          </w:tblCellMar>
        </w:tblPrEx>
        <w:tc>
          <w:tcPr>
            <w:tcW w:w="3000" w:type="dxa"/>
            <w:tcMar>
              <w:top w:w="60" w:type="dxa"/>
              <w:left w:w="100" w:type="dxa"/>
              <w:bottom w:w="60" w:type="dxa"/>
              <w:right w:w="100" w:type="dxa"/>
            </w:tcMar>
          </w:tcPr>
          <w:p w14:paraId="1A822D0C" w14:textId="77777777" w:rsidR="00D83A2A" w:rsidRDefault="00000000">
            <w:pPr>
              <w:spacing w:line="276" w:lineRule="auto"/>
            </w:pPr>
            <w:r>
              <w:rPr>
                <w:sz w:val="20"/>
                <w:szCs w:val="20"/>
              </w:rPr>
              <w:t>Tuned balanced RF</w:t>
            </w:r>
          </w:p>
        </w:tc>
        <w:tc>
          <w:tcPr>
            <w:tcW w:w="1100" w:type="dxa"/>
            <w:tcMar>
              <w:top w:w="60" w:type="dxa"/>
              <w:left w:w="100" w:type="dxa"/>
              <w:bottom w:w="60" w:type="dxa"/>
              <w:right w:w="100" w:type="dxa"/>
            </w:tcMar>
          </w:tcPr>
          <w:p w14:paraId="0F06D970" w14:textId="77777777" w:rsidR="00D83A2A" w:rsidRDefault="00000000">
            <w:pPr>
              <w:spacing w:line="276" w:lineRule="auto"/>
            </w:pPr>
            <w:r>
              <w:rPr>
                <w:sz w:val="20"/>
                <w:szCs w:val="20"/>
              </w:rPr>
              <w:t>.776</w:t>
            </w:r>
          </w:p>
        </w:tc>
        <w:tc>
          <w:tcPr>
            <w:tcW w:w="1100" w:type="dxa"/>
            <w:tcMar>
              <w:top w:w="60" w:type="dxa"/>
              <w:left w:w="100" w:type="dxa"/>
              <w:bottom w:w="60" w:type="dxa"/>
              <w:right w:w="100" w:type="dxa"/>
            </w:tcMar>
          </w:tcPr>
          <w:p w14:paraId="14D05A62" w14:textId="77777777" w:rsidR="00D83A2A" w:rsidRDefault="00000000">
            <w:pPr>
              <w:spacing w:line="276" w:lineRule="auto"/>
            </w:pPr>
            <w:r>
              <w:rPr>
                <w:sz w:val="20"/>
                <w:szCs w:val="20"/>
              </w:rPr>
              <w:t>.609</w:t>
            </w:r>
          </w:p>
        </w:tc>
        <w:tc>
          <w:tcPr>
            <w:tcW w:w="1060" w:type="dxa"/>
            <w:tcMar>
              <w:top w:w="60" w:type="dxa"/>
              <w:left w:w="100" w:type="dxa"/>
              <w:bottom w:w="60" w:type="dxa"/>
              <w:right w:w="100" w:type="dxa"/>
            </w:tcMar>
          </w:tcPr>
          <w:p w14:paraId="18281A06" w14:textId="77777777" w:rsidR="00D83A2A" w:rsidRDefault="00000000">
            <w:pPr>
              <w:spacing w:line="276" w:lineRule="auto"/>
            </w:pPr>
            <w:r>
              <w:rPr>
                <w:sz w:val="20"/>
                <w:szCs w:val="20"/>
              </w:rPr>
              <w:t>.649</w:t>
            </w:r>
          </w:p>
        </w:tc>
        <w:tc>
          <w:tcPr>
            <w:tcW w:w="1100" w:type="dxa"/>
            <w:tcMar>
              <w:top w:w="60" w:type="dxa"/>
              <w:left w:w="100" w:type="dxa"/>
              <w:bottom w:w="60" w:type="dxa"/>
              <w:right w:w="100" w:type="dxa"/>
            </w:tcMar>
          </w:tcPr>
          <w:p w14:paraId="557B2967" w14:textId="77777777" w:rsidR="00D83A2A" w:rsidRDefault="00000000">
            <w:pPr>
              <w:spacing w:line="276" w:lineRule="auto"/>
            </w:pPr>
            <w:r>
              <w:rPr>
                <w:sz w:val="20"/>
                <w:szCs w:val="20"/>
              </w:rPr>
              <w:t>.628</w:t>
            </w:r>
          </w:p>
        </w:tc>
        <w:tc>
          <w:tcPr>
            <w:tcW w:w="1100" w:type="dxa"/>
            <w:tcMar>
              <w:top w:w="60" w:type="dxa"/>
              <w:left w:w="100" w:type="dxa"/>
              <w:bottom w:w="60" w:type="dxa"/>
              <w:right w:w="100" w:type="dxa"/>
            </w:tcMar>
          </w:tcPr>
          <w:p w14:paraId="70F02A5C" w14:textId="77777777" w:rsidR="00D83A2A" w:rsidRDefault="00000000">
            <w:pPr>
              <w:spacing w:line="276" w:lineRule="auto"/>
            </w:pPr>
            <w:r>
              <w:rPr>
                <w:sz w:val="20"/>
                <w:szCs w:val="20"/>
              </w:rPr>
              <w:t>.802</w:t>
            </w:r>
          </w:p>
        </w:tc>
      </w:tr>
      <w:tr w:rsidR="00D83A2A" w14:paraId="3C32DE72" w14:textId="77777777">
        <w:tblPrEx>
          <w:tblCellMar>
            <w:top w:w="0" w:type="dxa"/>
            <w:bottom w:w="0" w:type="dxa"/>
          </w:tblCellMar>
        </w:tblPrEx>
        <w:tc>
          <w:tcPr>
            <w:tcW w:w="3000" w:type="dxa"/>
            <w:tcMar>
              <w:top w:w="60" w:type="dxa"/>
              <w:left w:w="100" w:type="dxa"/>
              <w:bottom w:w="60" w:type="dxa"/>
              <w:right w:w="100" w:type="dxa"/>
            </w:tcMar>
          </w:tcPr>
          <w:p w14:paraId="3B801661" w14:textId="77777777" w:rsidR="00D83A2A" w:rsidRDefault="00000000">
            <w:pPr>
              <w:spacing w:line="276" w:lineRule="auto"/>
            </w:pPr>
            <w:r>
              <w:rPr>
                <w:sz w:val="20"/>
                <w:szCs w:val="20"/>
              </w:rPr>
              <w:t>Tuned gradient boosting</w:t>
            </w:r>
          </w:p>
        </w:tc>
        <w:tc>
          <w:tcPr>
            <w:tcW w:w="1100" w:type="dxa"/>
            <w:tcMar>
              <w:top w:w="60" w:type="dxa"/>
              <w:left w:w="100" w:type="dxa"/>
              <w:bottom w:w="60" w:type="dxa"/>
              <w:right w:w="100" w:type="dxa"/>
            </w:tcMar>
          </w:tcPr>
          <w:p w14:paraId="3BE76859" w14:textId="77777777" w:rsidR="00D83A2A" w:rsidRDefault="00000000">
            <w:pPr>
              <w:spacing w:line="276" w:lineRule="auto"/>
            </w:pPr>
            <w:r>
              <w:rPr>
                <w:sz w:val="20"/>
                <w:szCs w:val="20"/>
              </w:rPr>
              <w:t>.788</w:t>
            </w:r>
          </w:p>
        </w:tc>
        <w:tc>
          <w:tcPr>
            <w:tcW w:w="1100" w:type="dxa"/>
            <w:tcMar>
              <w:top w:w="60" w:type="dxa"/>
              <w:left w:w="100" w:type="dxa"/>
              <w:bottom w:w="60" w:type="dxa"/>
              <w:right w:w="100" w:type="dxa"/>
            </w:tcMar>
          </w:tcPr>
          <w:p w14:paraId="379AE165" w14:textId="77777777" w:rsidR="00D83A2A" w:rsidRDefault="00000000">
            <w:pPr>
              <w:spacing w:line="276" w:lineRule="auto"/>
            </w:pPr>
            <w:r>
              <w:rPr>
                <w:sz w:val="20"/>
                <w:szCs w:val="20"/>
              </w:rPr>
              <w:t>.510</w:t>
            </w:r>
          </w:p>
        </w:tc>
        <w:tc>
          <w:tcPr>
            <w:tcW w:w="1060" w:type="dxa"/>
            <w:tcMar>
              <w:top w:w="60" w:type="dxa"/>
              <w:left w:w="100" w:type="dxa"/>
              <w:bottom w:w="60" w:type="dxa"/>
              <w:right w:w="100" w:type="dxa"/>
            </w:tcMar>
          </w:tcPr>
          <w:p w14:paraId="4BC5A8F9" w14:textId="77777777" w:rsidR="00D83A2A" w:rsidRDefault="00000000">
            <w:pPr>
              <w:spacing w:line="276" w:lineRule="auto"/>
            </w:pPr>
            <w:r>
              <w:rPr>
                <w:sz w:val="20"/>
                <w:szCs w:val="20"/>
              </w:rPr>
              <w:t>.727</w:t>
            </w:r>
          </w:p>
        </w:tc>
        <w:tc>
          <w:tcPr>
            <w:tcW w:w="1100" w:type="dxa"/>
            <w:tcMar>
              <w:top w:w="60" w:type="dxa"/>
              <w:left w:w="100" w:type="dxa"/>
              <w:bottom w:w="60" w:type="dxa"/>
              <w:right w:w="100" w:type="dxa"/>
            </w:tcMar>
          </w:tcPr>
          <w:p w14:paraId="78F024A8" w14:textId="77777777" w:rsidR="00D83A2A" w:rsidRDefault="00000000">
            <w:pPr>
              <w:spacing w:line="276" w:lineRule="auto"/>
            </w:pPr>
            <w:r>
              <w:rPr>
                <w:sz w:val="20"/>
                <w:szCs w:val="20"/>
              </w:rPr>
              <w:t>.600</w:t>
            </w:r>
          </w:p>
        </w:tc>
        <w:tc>
          <w:tcPr>
            <w:tcW w:w="1100" w:type="dxa"/>
            <w:tcMar>
              <w:top w:w="60" w:type="dxa"/>
              <w:left w:w="100" w:type="dxa"/>
              <w:bottom w:w="60" w:type="dxa"/>
              <w:right w:w="100" w:type="dxa"/>
            </w:tcMar>
          </w:tcPr>
          <w:p w14:paraId="2FBB36D2" w14:textId="77777777" w:rsidR="00D83A2A" w:rsidRDefault="00000000">
            <w:pPr>
              <w:spacing w:line="276" w:lineRule="auto"/>
            </w:pPr>
            <w:r>
              <w:rPr>
                <w:sz w:val="20"/>
                <w:szCs w:val="20"/>
              </w:rPr>
              <w:t>.789</w:t>
            </w:r>
          </w:p>
        </w:tc>
      </w:tr>
      <w:tr w:rsidR="00D83A2A" w14:paraId="2944A543" w14:textId="77777777">
        <w:tblPrEx>
          <w:tblCellMar>
            <w:top w:w="0" w:type="dxa"/>
            <w:bottom w:w="0" w:type="dxa"/>
          </w:tblCellMar>
        </w:tblPrEx>
        <w:tc>
          <w:tcPr>
            <w:tcW w:w="3000" w:type="dxa"/>
            <w:tcMar>
              <w:top w:w="60" w:type="dxa"/>
              <w:left w:w="100" w:type="dxa"/>
              <w:bottom w:w="60" w:type="dxa"/>
              <w:right w:w="100" w:type="dxa"/>
            </w:tcMar>
          </w:tcPr>
          <w:p w14:paraId="068C922F" w14:textId="77777777" w:rsidR="00D83A2A" w:rsidRDefault="00000000">
            <w:pPr>
              <w:spacing w:line="276" w:lineRule="auto"/>
            </w:pPr>
            <w:r>
              <w:rPr>
                <w:sz w:val="20"/>
                <w:szCs w:val="20"/>
              </w:rPr>
              <w:t>Random forest (default)</w:t>
            </w:r>
          </w:p>
        </w:tc>
        <w:tc>
          <w:tcPr>
            <w:tcW w:w="1100" w:type="dxa"/>
            <w:tcMar>
              <w:top w:w="60" w:type="dxa"/>
              <w:left w:w="100" w:type="dxa"/>
              <w:bottom w:w="60" w:type="dxa"/>
              <w:right w:w="100" w:type="dxa"/>
            </w:tcMar>
          </w:tcPr>
          <w:p w14:paraId="59D0D596" w14:textId="77777777" w:rsidR="00D83A2A" w:rsidRDefault="00000000">
            <w:pPr>
              <w:spacing w:line="276" w:lineRule="auto"/>
            </w:pPr>
            <w:r>
              <w:rPr>
                <w:sz w:val="20"/>
                <w:szCs w:val="20"/>
              </w:rPr>
              <w:t>.796</w:t>
            </w:r>
          </w:p>
        </w:tc>
        <w:tc>
          <w:tcPr>
            <w:tcW w:w="1100" w:type="dxa"/>
            <w:tcMar>
              <w:top w:w="60" w:type="dxa"/>
              <w:left w:w="100" w:type="dxa"/>
              <w:bottom w:w="60" w:type="dxa"/>
              <w:right w:w="100" w:type="dxa"/>
            </w:tcMar>
          </w:tcPr>
          <w:p w14:paraId="3B9EC464" w14:textId="77777777" w:rsidR="00D83A2A" w:rsidRDefault="00000000">
            <w:pPr>
              <w:spacing w:line="276" w:lineRule="auto"/>
            </w:pPr>
            <w:r>
              <w:rPr>
                <w:sz w:val="20"/>
                <w:szCs w:val="20"/>
              </w:rPr>
              <w:t>.503</w:t>
            </w:r>
          </w:p>
        </w:tc>
        <w:tc>
          <w:tcPr>
            <w:tcW w:w="1060" w:type="dxa"/>
            <w:tcMar>
              <w:top w:w="60" w:type="dxa"/>
              <w:left w:w="100" w:type="dxa"/>
              <w:bottom w:w="60" w:type="dxa"/>
              <w:right w:w="100" w:type="dxa"/>
            </w:tcMar>
          </w:tcPr>
          <w:p w14:paraId="54E1158E" w14:textId="77777777" w:rsidR="00D83A2A" w:rsidRDefault="00000000">
            <w:pPr>
              <w:spacing w:line="276" w:lineRule="auto"/>
            </w:pPr>
            <w:r>
              <w:rPr>
                <w:sz w:val="20"/>
                <w:szCs w:val="20"/>
              </w:rPr>
              <w:t>.760</w:t>
            </w:r>
          </w:p>
        </w:tc>
        <w:tc>
          <w:tcPr>
            <w:tcW w:w="1100" w:type="dxa"/>
            <w:tcMar>
              <w:top w:w="60" w:type="dxa"/>
              <w:left w:w="100" w:type="dxa"/>
              <w:bottom w:w="60" w:type="dxa"/>
              <w:right w:w="100" w:type="dxa"/>
            </w:tcMar>
          </w:tcPr>
          <w:p w14:paraId="5A04D1A2" w14:textId="77777777" w:rsidR="00D83A2A" w:rsidRDefault="00000000">
            <w:pPr>
              <w:spacing w:line="276" w:lineRule="auto"/>
            </w:pPr>
            <w:r>
              <w:rPr>
                <w:sz w:val="20"/>
                <w:szCs w:val="20"/>
              </w:rPr>
              <w:t>.605</w:t>
            </w:r>
          </w:p>
        </w:tc>
        <w:tc>
          <w:tcPr>
            <w:tcW w:w="1100" w:type="dxa"/>
            <w:tcMar>
              <w:top w:w="60" w:type="dxa"/>
              <w:left w:w="100" w:type="dxa"/>
              <w:bottom w:w="60" w:type="dxa"/>
              <w:right w:w="100" w:type="dxa"/>
            </w:tcMar>
          </w:tcPr>
          <w:p w14:paraId="05EB2705" w14:textId="77777777" w:rsidR="00D83A2A" w:rsidRDefault="00000000">
            <w:pPr>
              <w:spacing w:line="276" w:lineRule="auto"/>
            </w:pPr>
            <w:r>
              <w:rPr>
                <w:sz w:val="20"/>
                <w:szCs w:val="20"/>
              </w:rPr>
              <w:t>.793</w:t>
            </w:r>
          </w:p>
        </w:tc>
      </w:tr>
      <w:tr w:rsidR="00D83A2A" w14:paraId="569C2068" w14:textId="77777777">
        <w:tblPrEx>
          <w:tblCellMar>
            <w:top w:w="0" w:type="dxa"/>
            <w:bottom w:w="0" w:type="dxa"/>
          </w:tblCellMar>
        </w:tblPrEx>
        <w:tc>
          <w:tcPr>
            <w:tcW w:w="3000" w:type="dxa"/>
            <w:tcMar>
              <w:top w:w="60" w:type="dxa"/>
              <w:left w:w="100" w:type="dxa"/>
              <w:bottom w:w="60" w:type="dxa"/>
              <w:right w:w="100" w:type="dxa"/>
            </w:tcMar>
          </w:tcPr>
          <w:p w14:paraId="4984C8E4" w14:textId="77777777" w:rsidR="00D83A2A" w:rsidRDefault="00000000">
            <w:pPr>
              <w:spacing w:line="276" w:lineRule="auto"/>
            </w:pPr>
            <w:r>
              <w:rPr>
                <w:sz w:val="20"/>
                <w:szCs w:val="20"/>
              </w:rPr>
              <w:t>Balanced random forest</w:t>
            </w:r>
          </w:p>
        </w:tc>
        <w:tc>
          <w:tcPr>
            <w:tcW w:w="1100" w:type="dxa"/>
            <w:tcMar>
              <w:top w:w="60" w:type="dxa"/>
              <w:left w:w="100" w:type="dxa"/>
              <w:bottom w:w="60" w:type="dxa"/>
              <w:right w:w="100" w:type="dxa"/>
            </w:tcMar>
          </w:tcPr>
          <w:p w14:paraId="061BAC99" w14:textId="77777777" w:rsidR="00D83A2A" w:rsidRDefault="00000000">
            <w:pPr>
              <w:spacing w:line="276" w:lineRule="auto"/>
            </w:pPr>
            <w:r>
              <w:rPr>
                <w:sz w:val="20"/>
                <w:szCs w:val="20"/>
              </w:rPr>
              <w:t>.794</w:t>
            </w:r>
          </w:p>
        </w:tc>
        <w:tc>
          <w:tcPr>
            <w:tcW w:w="1100" w:type="dxa"/>
            <w:tcMar>
              <w:top w:w="60" w:type="dxa"/>
              <w:left w:w="100" w:type="dxa"/>
              <w:bottom w:w="60" w:type="dxa"/>
              <w:right w:w="100" w:type="dxa"/>
            </w:tcMar>
          </w:tcPr>
          <w:p w14:paraId="6EB90DEB" w14:textId="77777777" w:rsidR="00D83A2A" w:rsidRDefault="00000000">
            <w:pPr>
              <w:spacing w:line="276" w:lineRule="auto"/>
            </w:pPr>
            <w:r>
              <w:rPr>
                <w:sz w:val="20"/>
                <w:szCs w:val="20"/>
              </w:rPr>
              <w:t>.491</w:t>
            </w:r>
          </w:p>
        </w:tc>
        <w:tc>
          <w:tcPr>
            <w:tcW w:w="1060" w:type="dxa"/>
            <w:tcMar>
              <w:top w:w="60" w:type="dxa"/>
              <w:left w:w="100" w:type="dxa"/>
              <w:bottom w:w="60" w:type="dxa"/>
              <w:right w:w="100" w:type="dxa"/>
            </w:tcMar>
          </w:tcPr>
          <w:p w14:paraId="4C57F43F" w14:textId="77777777" w:rsidR="00D83A2A" w:rsidRDefault="00000000">
            <w:pPr>
              <w:spacing w:line="276" w:lineRule="auto"/>
            </w:pPr>
            <w:r>
              <w:rPr>
                <w:sz w:val="20"/>
                <w:szCs w:val="20"/>
              </w:rPr>
              <w:t>.761</w:t>
            </w:r>
          </w:p>
        </w:tc>
        <w:tc>
          <w:tcPr>
            <w:tcW w:w="1100" w:type="dxa"/>
            <w:tcMar>
              <w:top w:w="60" w:type="dxa"/>
              <w:left w:w="100" w:type="dxa"/>
              <w:bottom w:w="60" w:type="dxa"/>
              <w:right w:w="100" w:type="dxa"/>
            </w:tcMar>
          </w:tcPr>
          <w:p w14:paraId="6541E2BC" w14:textId="77777777" w:rsidR="00D83A2A" w:rsidRDefault="00000000">
            <w:pPr>
              <w:spacing w:line="276" w:lineRule="auto"/>
            </w:pPr>
            <w:r>
              <w:rPr>
                <w:sz w:val="20"/>
                <w:szCs w:val="20"/>
              </w:rPr>
              <w:t>.597</w:t>
            </w:r>
          </w:p>
        </w:tc>
        <w:tc>
          <w:tcPr>
            <w:tcW w:w="1100" w:type="dxa"/>
            <w:tcMar>
              <w:top w:w="60" w:type="dxa"/>
              <w:left w:w="100" w:type="dxa"/>
              <w:bottom w:w="60" w:type="dxa"/>
              <w:right w:w="100" w:type="dxa"/>
            </w:tcMar>
          </w:tcPr>
          <w:p w14:paraId="2BA43BF0" w14:textId="77777777" w:rsidR="00D83A2A" w:rsidRDefault="00000000">
            <w:pPr>
              <w:spacing w:line="276" w:lineRule="auto"/>
            </w:pPr>
            <w:r>
              <w:rPr>
                <w:sz w:val="20"/>
                <w:szCs w:val="20"/>
              </w:rPr>
              <w:t>.796</w:t>
            </w:r>
          </w:p>
        </w:tc>
      </w:tr>
      <w:tr w:rsidR="00D83A2A" w14:paraId="132C896F" w14:textId="77777777">
        <w:tblPrEx>
          <w:tblCellMar>
            <w:top w:w="0" w:type="dxa"/>
            <w:bottom w:w="0" w:type="dxa"/>
          </w:tblCellMar>
        </w:tblPrEx>
        <w:tc>
          <w:tcPr>
            <w:tcW w:w="3000" w:type="dxa"/>
            <w:tcBorders>
              <w:bottom w:val="single" w:sz="4" w:space="0" w:color="000000"/>
            </w:tcBorders>
            <w:tcMar>
              <w:top w:w="60" w:type="dxa"/>
              <w:left w:w="100" w:type="dxa"/>
              <w:bottom w:w="60" w:type="dxa"/>
              <w:right w:w="100" w:type="dxa"/>
            </w:tcMar>
          </w:tcPr>
          <w:p w14:paraId="3E9414CA" w14:textId="77777777" w:rsidR="00D83A2A" w:rsidRDefault="00000000">
            <w:pPr>
              <w:spacing w:line="276" w:lineRule="auto"/>
            </w:pPr>
            <w:r>
              <w:rPr>
                <w:sz w:val="20"/>
                <w:szCs w:val="20"/>
              </w:rPr>
              <w:t>Gradient boosting (default)</w:t>
            </w:r>
          </w:p>
        </w:tc>
        <w:tc>
          <w:tcPr>
            <w:tcW w:w="1100" w:type="dxa"/>
            <w:tcBorders>
              <w:bottom w:val="single" w:sz="4" w:space="0" w:color="000000"/>
            </w:tcBorders>
            <w:tcMar>
              <w:top w:w="60" w:type="dxa"/>
              <w:left w:w="100" w:type="dxa"/>
              <w:bottom w:w="60" w:type="dxa"/>
              <w:right w:w="100" w:type="dxa"/>
            </w:tcMar>
          </w:tcPr>
          <w:p w14:paraId="51EE6F82" w14:textId="77777777" w:rsidR="00D83A2A" w:rsidRDefault="00000000">
            <w:pPr>
              <w:spacing w:line="276" w:lineRule="auto"/>
            </w:pPr>
            <w:r>
              <w:rPr>
                <w:sz w:val="20"/>
                <w:szCs w:val="20"/>
              </w:rPr>
              <w:t>.798</w:t>
            </w:r>
          </w:p>
        </w:tc>
        <w:tc>
          <w:tcPr>
            <w:tcW w:w="1100" w:type="dxa"/>
            <w:tcBorders>
              <w:bottom w:val="single" w:sz="4" w:space="0" w:color="000000"/>
            </w:tcBorders>
            <w:tcMar>
              <w:top w:w="60" w:type="dxa"/>
              <w:left w:w="100" w:type="dxa"/>
              <w:bottom w:w="60" w:type="dxa"/>
              <w:right w:w="100" w:type="dxa"/>
            </w:tcMar>
          </w:tcPr>
          <w:p w14:paraId="4338BE2B" w14:textId="77777777" w:rsidR="00D83A2A" w:rsidRDefault="00000000">
            <w:pPr>
              <w:spacing w:line="276" w:lineRule="auto"/>
            </w:pPr>
            <w:r>
              <w:rPr>
                <w:sz w:val="20"/>
                <w:szCs w:val="20"/>
              </w:rPr>
              <w:t>.461</w:t>
            </w:r>
          </w:p>
        </w:tc>
        <w:tc>
          <w:tcPr>
            <w:tcW w:w="1060" w:type="dxa"/>
            <w:tcBorders>
              <w:bottom w:val="single" w:sz="4" w:space="0" w:color="000000"/>
            </w:tcBorders>
            <w:tcMar>
              <w:top w:w="60" w:type="dxa"/>
              <w:left w:w="100" w:type="dxa"/>
              <w:bottom w:w="60" w:type="dxa"/>
              <w:right w:w="100" w:type="dxa"/>
            </w:tcMar>
          </w:tcPr>
          <w:p w14:paraId="72E45FB2" w14:textId="77777777" w:rsidR="00D83A2A" w:rsidRDefault="00000000">
            <w:pPr>
              <w:spacing w:line="276" w:lineRule="auto"/>
            </w:pPr>
            <w:r>
              <w:rPr>
                <w:sz w:val="20"/>
                <w:szCs w:val="20"/>
              </w:rPr>
              <w:t>.805</w:t>
            </w:r>
          </w:p>
        </w:tc>
        <w:tc>
          <w:tcPr>
            <w:tcW w:w="1100" w:type="dxa"/>
            <w:tcBorders>
              <w:bottom w:val="single" w:sz="4" w:space="0" w:color="000000"/>
            </w:tcBorders>
            <w:tcMar>
              <w:top w:w="60" w:type="dxa"/>
              <w:left w:w="100" w:type="dxa"/>
              <w:bottom w:w="60" w:type="dxa"/>
              <w:right w:w="100" w:type="dxa"/>
            </w:tcMar>
          </w:tcPr>
          <w:p w14:paraId="3E3814F8" w14:textId="77777777" w:rsidR="00D83A2A" w:rsidRDefault="00000000">
            <w:pPr>
              <w:spacing w:line="276" w:lineRule="auto"/>
            </w:pPr>
            <w:r>
              <w:rPr>
                <w:sz w:val="20"/>
                <w:szCs w:val="20"/>
              </w:rPr>
              <w:t>.586</w:t>
            </w:r>
          </w:p>
        </w:tc>
        <w:tc>
          <w:tcPr>
            <w:tcW w:w="1100" w:type="dxa"/>
            <w:tcBorders>
              <w:bottom w:val="single" w:sz="4" w:space="0" w:color="000000"/>
            </w:tcBorders>
            <w:tcMar>
              <w:top w:w="60" w:type="dxa"/>
              <w:left w:w="100" w:type="dxa"/>
              <w:bottom w:w="60" w:type="dxa"/>
              <w:right w:w="100" w:type="dxa"/>
            </w:tcMar>
          </w:tcPr>
          <w:p w14:paraId="088937C1" w14:textId="77777777" w:rsidR="00D83A2A" w:rsidRDefault="00000000">
            <w:pPr>
              <w:spacing w:line="276" w:lineRule="auto"/>
            </w:pPr>
            <w:r>
              <w:rPr>
                <w:sz w:val="20"/>
                <w:szCs w:val="20"/>
              </w:rPr>
              <w:t>.804</w:t>
            </w:r>
          </w:p>
        </w:tc>
      </w:tr>
    </w:tbl>
    <w:p w14:paraId="2EA12225" w14:textId="77777777" w:rsidR="00D83A2A" w:rsidRDefault="00D83A2A">
      <w:pPr>
        <w:spacing w:after="200"/>
      </w:pPr>
    </w:p>
    <w:p w14:paraId="76A7AF78" w14:textId="77777777" w:rsidR="00D83A2A" w:rsidRDefault="00000000">
      <w:pPr>
        <w:spacing w:line="480" w:lineRule="auto"/>
        <w:ind w:firstLine="720"/>
      </w:pPr>
      <w:r>
        <w:t>The baseline logistic regression achieves the highest raw recall (.630) but at the cost of substantially lower precision (.566), resulting in a high false positive rate. The Tuned Balanced Random Forest offers the best balance between recall and precision, achieving the highest F1 score (.628) among all models along with a strong AUC-ROC of .802. This makes it the recommended model for deployment in an early-warning setting.</w:t>
      </w:r>
    </w:p>
    <w:p w14:paraId="1A037A1E" w14:textId="77777777" w:rsidR="00D83A2A" w:rsidRDefault="00000000">
      <w:pPr>
        <w:spacing w:line="480" w:lineRule="auto"/>
        <w:ind w:firstLine="720"/>
      </w:pPr>
      <w:r>
        <w:t>Hyperparameter tuning produced meaningful improvements. The Tuned Balanced Random Forest improved recall from .491 to .609 and F1 from .597 to .628 compared to its untuned counterpart. The Tuned Gradient Boosting similarly improved recall from .461 to .510, though it still trails the tuned Random Forest on recall.</w:t>
      </w:r>
    </w:p>
    <w:p w14:paraId="12709D8E" w14:textId="77777777" w:rsidR="00D83A2A" w:rsidRDefault="00000000">
      <w:pPr>
        <w:spacing w:before="240" w:line="480" w:lineRule="auto"/>
      </w:pPr>
      <w:r>
        <w:rPr>
          <w:b/>
          <w:bCs/>
        </w:rPr>
        <w:t>Threshold Analysis</w:t>
      </w:r>
    </w:p>
    <w:p w14:paraId="0558FD19" w14:textId="77777777" w:rsidR="00D83A2A" w:rsidRDefault="00000000">
      <w:pPr>
        <w:spacing w:line="480" w:lineRule="auto"/>
      </w:pPr>
      <w:r>
        <w:lastRenderedPageBreak/>
        <w:t>The threshold sensitivity analysis reveals a clear trade-off between recall and precision. Table 3 presents candidate operating points for the Tuned Balanced Random Forest.</w:t>
      </w:r>
    </w:p>
    <w:p w14:paraId="41F25783" w14:textId="77777777" w:rsidR="00D83A2A" w:rsidRDefault="00000000">
      <w:pPr>
        <w:spacing w:line="480" w:lineRule="auto"/>
      </w:pPr>
      <w:r>
        <w:rPr>
          <w:i/>
          <w:iCs/>
        </w:rPr>
        <w:t>Table 3</w:t>
      </w:r>
    </w:p>
    <w:p w14:paraId="0914159C" w14:textId="77777777" w:rsidR="00D83A2A" w:rsidRDefault="00000000">
      <w:pPr>
        <w:spacing w:line="480" w:lineRule="auto"/>
      </w:pPr>
      <w:r>
        <w:rPr>
          <w:i/>
          <w:iCs/>
        </w:rPr>
        <w:t>Candidate Operating Points for the Tuned Balanced Random Forest</w:t>
      </w:r>
    </w:p>
    <w:p w14:paraId="628DAD0E" w14:textId="77777777" w:rsidR="00D83A2A" w:rsidRDefault="00D83A2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1600"/>
        <w:gridCol w:w="1600"/>
        <w:gridCol w:w="2960"/>
      </w:tblGrid>
      <w:tr w:rsidR="00D83A2A" w14:paraId="6A21D87A" w14:textId="77777777">
        <w:tblPrEx>
          <w:tblCellMar>
            <w:top w:w="0" w:type="dxa"/>
            <w:bottom w:w="0" w:type="dxa"/>
          </w:tblCellMar>
        </w:tblPrEx>
        <w:tc>
          <w:tcPr>
            <w:tcW w:w="1600" w:type="dxa"/>
            <w:tcBorders>
              <w:bottom w:val="single" w:sz="2" w:space="0" w:color="000000"/>
            </w:tcBorders>
            <w:tcMar>
              <w:top w:w="60" w:type="dxa"/>
              <w:left w:w="100" w:type="dxa"/>
              <w:bottom w:w="60" w:type="dxa"/>
              <w:right w:w="100" w:type="dxa"/>
            </w:tcMar>
          </w:tcPr>
          <w:p w14:paraId="7034D271" w14:textId="77777777" w:rsidR="00D83A2A" w:rsidRDefault="00000000">
            <w:pPr>
              <w:spacing w:line="276" w:lineRule="auto"/>
            </w:pPr>
            <w:r>
              <w:rPr>
                <w:b/>
                <w:bCs/>
                <w:sz w:val="20"/>
                <w:szCs w:val="20"/>
              </w:rPr>
              <w:t>Threshold</w:t>
            </w:r>
          </w:p>
        </w:tc>
        <w:tc>
          <w:tcPr>
            <w:tcW w:w="1600" w:type="dxa"/>
            <w:tcBorders>
              <w:bottom w:val="single" w:sz="2" w:space="0" w:color="000000"/>
            </w:tcBorders>
            <w:tcMar>
              <w:top w:w="60" w:type="dxa"/>
              <w:left w:w="100" w:type="dxa"/>
              <w:bottom w:w="60" w:type="dxa"/>
              <w:right w:w="100" w:type="dxa"/>
            </w:tcMar>
          </w:tcPr>
          <w:p w14:paraId="357A2985" w14:textId="77777777" w:rsidR="00D83A2A" w:rsidRDefault="00000000">
            <w:pPr>
              <w:spacing w:line="276" w:lineRule="auto"/>
            </w:pPr>
            <w:r>
              <w:rPr>
                <w:b/>
                <w:bCs/>
                <w:sz w:val="20"/>
                <w:szCs w:val="20"/>
              </w:rPr>
              <w:t>Recall</w:t>
            </w:r>
          </w:p>
        </w:tc>
        <w:tc>
          <w:tcPr>
            <w:tcW w:w="1600" w:type="dxa"/>
            <w:tcBorders>
              <w:bottom w:val="single" w:sz="2" w:space="0" w:color="000000"/>
            </w:tcBorders>
            <w:tcMar>
              <w:top w:w="60" w:type="dxa"/>
              <w:left w:w="100" w:type="dxa"/>
              <w:bottom w:w="60" w:type="dxa"/>
              <w:right w:w="100" w:type="dxa"/>
            </w:tcMar>
          </w:tcPr>
          <w:p w14:paraId="2A979F85" w14:textId="77777777" w:rsidR="00D83A2A" w:rsidRDefault="00000000">
            <w:pPr>
              <w:spacing w:line="276" w:lineRule="auto"/>
            </w:pPr>
            <w:r>
              <w:rPr>
                <w:b/>
                <w:bCs/>
                <w:sz w:val="20"/>
                <w:szCs w:val="20"/>
              </w:rPr>
              <w:t>Precision</w:t>
            </w:r>
          </w:p>
        </w:tc>
        <w:tc>
          <w:tcPr>
            <w:tcW w:w="1600" w:type="dxa"/>
            <w:tcBorders>
              <w:bottom w:val="single" w:sz="2" w:space="0" w:color="000000"/>
            </w:tcBorders>
            <w:tcMar>
              <w:top w:w="60" w:type="dxa"/>
              <w:left w:w="100" w:type="dxa"/>
              <w:bottom w:w="60" w:type="dxa"/>
              <w:right w:w="100" w:type="dxa"/>
            </w:tcMar>
          </w:tcPr>
          <w:p w14:paraId="15CF80BE" w14:textId="77777777" w:rsidR="00D83A2A" w:rsidRDefault="00000000">
            <w:pPr>
              <w:spacing w:line="276" w:lineRule="auto"/>
            </w:pPr>
            <w:r>
              <w:rPr>
                <w:b/>
                <w:bCs/>
                <w:sz w:val="20"/>
                <w:szCs w:val="20"/>
              </w:rPr>
              <w:t>F1</w:t>
            </w:r>
          </w:p>
        </w:tc>
        <w:tc>
          <w:tcPr>
            <w:tcW w:w="2960" w:type="dxa"/>
            <w:tcBorders>
              <w:bottom w:val="single" w:sz="2" w:space="0" w:color="000000"/>
            </w:tcBorders>
            <w:tcMar>
              <w:top w:w="60" w:type="dxa"/>
              <w:left w:w="100" w:type="dxa"/>
              <w:bottom w:w="60" w:type="dxa"/>
              <w:right w:w="100" w:type="dxa"/>
            </w:tcMar>
          </w:tcPr>
          <w:p w14:paraId="548AC12E" w14:textId="77777777" w:rsidR="00D83A2A" w:rsidRDefault="00000000">
            <w:pPr>
              <w:spacing w:line="276" w:lineRule="auto"/>
            </w:pPr>
            <w:r>
              <w:rPr>
                <w:b/>
                <w:bCs/>
                <w:sz w:val="20"/>
                <w:szCs w:val="20"/>
              </w:rPr>
              <w:t>Students Flagged</w:t>
            </w:r>
          </w:p>
        </w:tc>
      </w:tr>
      <w:tr w:rsidR="00D83A2A" w14:paraId="417242AF" w14:textId="77777777">
        <w:tblPrEx>
          <w:tblCellMar>
            <w:top w:w="0" w:type="dxa"/>
            <w:bottom w:w="0" w:type="dxa"/>
          </w:tblCellMar>
        </w:tblPrEx>
        <w:tc>
          <w:tcPr>
            <w:tcW w:w="1600" w:type="dxa"/>
            <w:tcMar>
              <w:top w:w="60" w:type="dxa"/>
              <w:left w:w="100" w:type="dxa"/>
              <w:bottom w:w="60" w:type="dxa"/>
              <w:right w:w="100" w:type="dxa"/>
            </w:tcMar>
          </w:tcPr>
          <w:p w14:paraId="2F7AA733" w14:textId="77777777" w:rsidR="00D83A2A" w:rsidRDefault="00000000">
            <w:pPr>
              <w:spacing w:line="276" w:lineRule="auto"/>
            </w:pPr>
            <w:r>
              <w:rPr>
                <w:sz w:val="20"/>
                <w:szCs w:val="20"/>
              </w:rPr>
              <w:t>0.20</w:t>
            </w:r>
          </w:p>
        </w:tc>
        <w:tc>
          <w:tcPr>
            <w:tcW w:w="1600" w:type="dxa"/>
            <w:tcMar>
              <w:top w:w="60" w:type="dxa"/>
              <w:left w:w="100" w:type="dxa"/>
              <w:bottom w:w="60" w:type="dxa"/>
              <w:right w:w="100" w:type="dxa"/>
            </w:tcMar>
          </w:tcPr>
          <w:p w14:paraId="0F6D1211" w14:textId="77777777" w:rsidR="00D83A2A" w:rsidRDefault="00000000">
            <w:pPr>
              <w:spacing w:line="276" w:lineRule="auto"/>
            </w:pPr>
            <w:r>
              <w:rPr>
                <w:sz w:val="20"/>
                <w:szCs w:val="20"/>
              </w:rPr>
              <w:t>.808</w:t>
            </w:r>
          </w:p>
        </w:tc>
        <w:tc>
          <w:tcPr>
            <w:tcW w:w="1600" w:type="dxa"/>
            <w:tcMar>
              <w:top w:w="60" w:type="dxa"/>
              <w:left w:w="100" w:type="dxa"/>
              <w:bottom w:w="60" w:type="dxa"/>
              <w:right w:w="100" w:type="dxa"/>
            </w:tcMar>
          </w:tcPr>
          <w:p w14:paraId="665AD50A" w14:textId="77777777" w:rsidR="00D83A2A" w:rsidRDefault="00000000">
            <w:pPr>
              <w:spacing w:line="276" w:lineRule="auto"/>
            </w:pPr>
            <w:r>
              <w:rPr>
                <w:sz w:val="20"/>
                <w:szCs w:val="20"/>
              </w:rPr>
              <w:t>.470</w:t>
            </w:r>
          </w:p>
        </w:tc>
        <w:tc>
          <w:tcPr>
            <w:tcW w:w="1600" w:type="dxa"/>
            <w:tcMar>
              <w:top w:w="60" w:type="dxa"/>
              <w:left w:w="100" w:type="dxa"/>
              <w:bottom w:w="60" w:type="dxa"/>
              <w:right w:w="100" w:type="dxa"/>
            </w:tcMar>
          </w:tcPr>
          <w:p w14:paraId="45ABC9AF" w14:textId="77777777" w:rsidR="00D83A2A" w:rsidRDefault="00000000">
            <w:pPr>
              <w:spacing w:line="276" w:lineRule="auto"/>
            </w:pPr>
            <w:r>
              <w:rPr>
                <w:sz w:val="20"/>
                <w:szCs w:val="20"/>
              </w:rPr>
              <w:t>.594</w:t>
            </w:r>
          </w:p>
        </w:tc>
        <w:tc>
          <w:tcPr>
            <w:tcW w:w="2960" w:type="dxa"/>
            <w:tcMar>
              <w:top w:w="60" w:type="dxa"/>
              <w:left w:w="100" w:type="dxa"/>
              <w:bottom w:w="60" w:type="dxa"/>
              <w:right w:w="100" w:type="dxa"/>
            </w:tcMar>
          </w:tcPr>
          <w:p w14:paraId="6A650B60" w14:textId="77777777" w:rsidR="00D83A2A" w:rsidRDefault="00000000">
            <w:pPr>
              <w:spacing w:line="276" w:lineRule="auto"/>
            </w:pPr>
            <w:r>
              <w:rPr>
                <w:sz w:val="20"/>
                <w:szCs w:val="20"/>
              </w:rPr>
              <w:t>3,484</w:t>
            </w:r>
          </w:p>
        </w:tc>
      </w:tr>
      <w:tr w:rsidR="00D83A2A" w14:paraId="711C5B7A" w14:textId="77777777">
        <w:tblPrEx>
          <w:tblCellMar>
            <w:top w:w="0" w:type="dxa"/>
            <w:bottom w:w="0" w:type="dxa"/>
          </w:tblCellMar>
        </w:tblPrEx>
        <w:tc>
          <w:tcPr>
            <w:tcW w:w="1600" w:type="dxa"/>
            <w:tcMar>
              <w:top w:w="60" w:type="dxa"/>
              <w:left w:w="100" w:type="dxa"/>
              <w:bottom w:w="60" w:type="dxa"/>
              <w:right w:w="100" w:type="dxa"/>
            </w:tcMar>
          </w:tcPr>
          <w:p w14:paraId="57750120" w14:textId="77777777" w:rsidR="00D83A2A" w:rsidRDefault="00000000">
            <w:pPr>
              <w:spacing w:line="276" w:lineRule="auto"/>
            </w:pPr>
            <w:r>
              <w:rPr>
                <w:sz w:val="20"/>
                <w:szCs w:val="20"/>
              </w:rPr>
              <w:t>0.30</w:t>
            </w:r>
          </w:p>
        </w:tc>
        <w:tc>
          <w:tcPr>
            <w:tcW w:w="1600" w:type="dxa"/>
            <w:tcMar>
              <w:top w:w="60" w:type="dxa"/>
              <w:left w:w="100" w:type="dxa"/>
              <w:bottom w:w="60" w:type="dxa"/>
              <w:right w:w="100" w:type="dxa"/>
            </w:tcMar>
          </w:tcPr>
          <w:p w14:paraId="3EB90264" w14:textId="77777777" w:rsidR="00D83A2A" w:rsidRDefault="00000000">
            <w:pPr>
              <w:spacing w:line="276" w:lineRule="auto"/>
            </w:pPr>
            <w:r>
              <w:rPr>
                <w:sz w:val="20"/>
                <w:szCs w:val="20"/>
              </w:rPr>
              <w:t>.666</w:t>
            </w:r>
          </w:p>
        </w:tc>
        <w:tc>
          <w:tcPr>
            <w:tcW w:w="1600" w:type="dxa"/>
            <w:tcMar>
              <w:top w:w="60" w:type="dxa"/>
              <w:left w:w="100" w:type="dxa"/>
              <w:bottom w:w="60" w:type="dxa"/>
              <w:right w:w="100" w:type="dxa"/>
            </w:tcMar>
          </w:tcPr>
          <w:p w14:paraId="5A9D8108" w14:textId="77777777" w:rsidR="00D83A2A" w:rsidRDefault="00000000">
            <w:pPr>
              <w:spacing w:line="276" w:lineRule="auto"/>
            </w:pPr>
            <w:r>
              <w:rPr>
                <w:sz w:val="20"/>
                <w:szCs w:val="20"/>
              </w:rPr>
              <w:t>.585</w:t>
            </w:r>
          </w:p>
        </w:tc>
        <w:tc>
          <w:tcPr>
            <w:tcW w:w="1600" w:type="dxa"/>
            <w:tcMar>
              <w:top w:w="60" w:type="dxa"/>
              <w:left w:w="100" w:type="dxa"/>
              <w:bottom w:w="60" w:type="dxa"/>
              <w:right w:w="100" w:type="dxa"/>
            </w:tcMar>
          </w:tcPr>
          <w:p w14:paraId="676BED6A" w14:textId="77777777" w:rsidR="00D83A2A" w:rsidRDefault="00000000">
            <w:pPr>
              <w:spacing w:line="276" w:lineRule="auto"/>
            </w:pPr>
            <w:r>
              <w:rPr>
                <w:sz w:val="20"/>
                <w:szCs w:val="20"/>
              </w:rPr>
              <w:t>.623</w:t>
            </w:r>
          </w:p>
        </w:tc>
        <w:tc>
          <w:tcPr>
            <w:tcW w:w="2960" w:type="dxa"/>
            <w:tcMar>
              <w:top w:w="60" w:type="dxa"/>
              <w:left w:w="100" w:type="dxa"/>
              <w:bottom w:w="60" w:type="dxa"/>
              <w:right w:w="100" w:type="dxa"/>
            </w:tcMar>
          </w:tcPr>
          <w:p w14:paraId="327FEFB9" w14:textId="77777777" w:rsidR="00D83A2A" w:rsidRDefault="00000000">
            <w:pPr>
              <w:spacing w:line="276" w:lineRule="auto"/>
            </w:pPr>
            <w:r>
              <w:rPr>
                <w:sz w:val="20"/>
                <w:szCs w:val="20"/>
              </w:rPr>
              <w:t>2,306</w:t>
            </w:r>
          </w:p>
        </w:tc>
      </w:tr>
      <w:tr w:rsidR="00D83A2A" w14:paraId="1AF1C103" w14:textId="77777777">
        <w:tblPrEx>
          <w:tblCellMar>
            <w:top w:w="0" w:type="dxa"/>
            <w:bottom w:w="0" w:type="dxa"/>
          </w:tblCellMar>
        </w:tblPrEx>
        <w:tc>
          <w:tcPr>
            <w:tcW w:w="1600" w:type="dxa"/>
            <w:tcMar>
              <w:top w:w="60" w:type="dxa"/>
              <w:left w:w="100" w:type="dxa"/>
              <w:bottom w:w="60" w:type="dxa"/>
              <w:right w:w="100" w:type="dxa"/>
            </w:tcMar>
          </w:tcPr>
          <w:p w14:paraId="67EE5E44" w14:textId="77777777" w:rsidR="00D83A2A" w:rsidRDefault="00000000">
            <w:pPr>
              <w:spacing w:line="276" w:lineRule="auto"/>
            </w:pPr>
            <w:r>
              <w:rPr>
                <w:sz w:val="20"/>
                <w:szCs w:val="20"/>
              </w:rPr>
              <w:t>0.40</w:t>
            </w:r>
          </w:p>
        </w:tc>
        <w:tc>
          <w:tcPr>
            <w:tcW w:w="1600" w:type="dxa"/>
            <w:tcMar>
              <w:top w:w="60" w:type="dxa"/>
              <w:left w:w="100" w:type="dxa"/>
              <w:bottom w:w="60" w:type="dxa"/>
              <w:right w:w="100" w:type="dxa"/>
            </w:tcMar>
          </w:tcPr>
          <w:p w14:paraId="3EA335CA" w14:textId="77777777" w:rsidR="00D83A2A" w:rsidRDefault="00000000">
            <w:pPr>
              <w:spacing w:line="276" w:lineRule="auto"/>
            </w:pPr>
            <w:r>
              <w:rPr>
                <w:sz w:val="20"/>
                <w:szCs w:val="20"/>
              </w:rPr>
              <w:t>.571</w:t>
            </w:r>
          </w:p>
        </w:tc>
        <w:tc>
          <w:tcPr>
            <w:tcW w:w="1600" w:type="dxa"/>
            <w:tcMar>
              <w:top w:w="60" w:type="dxa"/>
              <w:left w:w="100" w:type="dxa"/>
              <w:bottom w:w="60" w:type="dxa"/>
              <w:right w:w="100" w:type="dxa"/>
            </w:tcMar>
          </w:tcPr>
          <w:p w14:paraId="16534D1E" w14:textId="77777777" w:rsidR="00D83A2A" w:rsidRDefault="00000000">
            <w:pPr>
              <w:spacing w:line="276" w:lineRule="auto"/>
            </w:pPr>
            <w:r>
              <w:rPr>
                <w:sz w:val="20"/>
                <w:szCs w:val="20"/>
              </w:rPr>
              <w:t>.688</w:t>
            </w:r>
          </w:p>
        </w:tc>
        <w:tc>
          <w:tcPr>
            <w:tcW w:w="1600" w:type="dxa"/>
            <w:tcMar>
              <w:top w:w="60" w:type="dxa"/>
              <w:left w:w="100" w:type="dxa"/>
              <w:bottom w:w="60" w:type="dxa"/>
              <w:right w:w="100" w:type="dxa"/>
            </w:tcMar>
          </w:tcPr>
          <w:p w14:paraId="14C23D5C" w14:textId="77777777" w:rsidR="00D83A2A" w:rsidRDefault="00000000">
            <w:pPr>
              <w:spacing w:line="276" w:lineRule="auto"/>
            </w:pPr>
            <w:r>
              <w:rPr>
                <w:sz w:val="20"/>
                <w:szCs w:val="20"/>
              </w:rPr>
              <w:t>.624</w:t>
            </w:r>
          </w:p>
        </w:tc>
        <w:tc>
          <w:tcPr>
            <w:tcW w:w="2960" w:type="dxa"/>
            <w:tcMar>
              <w:top w:w="60" w:type="dxa"/>
              <w:left w:w="100" w:type="dxa"/>
              <w:bottom w:w="60" w:type="dxa"/>
              <w:right w:w="100" w:type="dxa"/>
            </w:tcMar>
          </w:tcPr>
          <w:p w14:paraId="7AB8B481" w14:textId="77777777" w:rsidR="00D83A2A" w:rsidRDefault="00000000">
            <w:pPr>
              <w:spacing w:line="276" w:lineRule="auto"/>
            </w:pPr>
            <w:r>
              <w:rPr>
                <w:sz w:val="20"/>
                <w:szCs w:val="20"/>
              </w:rPr>
              <w:t>1,680</w:t>
            </w:r>
          </w:p>
        </w:tc>
      </w:tr>
      <w:tr w:rsidR="00D83A2A" w14:paraId="249EBE30" w14:textId="77777777">
        <w:tblPrEx>
          <w:tblCellMar>
            <w:top w:w="0" w:type="dxa"/>
            <w:bottom w:w="0" w:type="dxa"/>
          </w:tblCellMar>
        </w:tblPrEx>
        <w:tc>
          <w:tcPr>
            <w:tcW w:w="1600" w:type="dxa"/>
            <w:tcBorders>
              <w:bottom w:val="single" w:sz="4" w:space="0" w:color="000000"/>
            </w:tcBorders>
            <w:tcMar>
              <w:top w:w="60" w:type="dxa"/>
              <w:left w:w="100" w:type="dxa"/>
              <w:bottom w:w="60" w:type="dxa"/>
              <w:right w:w="100" w:type="dxa"/>
            </w:tcMar>
          </w:tcPr>
          <w:p w14:paraId="47864537" w14:textId="77777777" w:rsidR="00D83A2A" w:rsidRDefault="00000000">
            <w:pPr>
              <w:spacing w:line="276" w:lineRule="auto"/>
            </w:pPr>
            <w:r>
              <w:rPr>
                <w:sz w:val="20"/>
                <w:szCs w:val="20"/>
              </w:rPr>
              <w:t>0.50</w:t>
            </w:r>
          </w:p>
        </w:tc>
        <w:tc>
          <w:tcPr>
            <w:tcW w:w="1600" w:type="dxa"/>
            <w:tcBorders>
              <w:bottom w:val="single" w:sz="4" w:space="0" w:color="000000"/>
            </w:tcBorders>
            <w:tcMar>
              <w:top w:w="60" w:type="dxa"/>
              <w:left w:w="100" w:type="dxa"/>
              <w:bottom w:w="60" w:type="dxa"/>
              <w:right w:w="100" w:type="dxa"/>
            </w:tcMar>
          </w:tcPr>
          <w:p w14:paraId="051A2082" w14:textId="77777777" w:rsidR="00D83A2A" w:rsidRDefault="00000000">
            <w:pPr>
              <w:spacing w:line="276" w:lineRule="auto"/>
            </w:pPr>
            <w:r>
              <w:rPr>
                <w:sz w:val="20"/>
                <w:szCs w:val="20"/>
              </w:rPr>
              <w:t>.491</w:t>
            </w:r>
          </w:p>
        </w:tc>
        <w:tc>
          <w:tcPr>
            <w:tcW w:w="1600" w:type="dxa"/>
            <w:tcBorders>
              <w:bottom w:val="single" w:sz="4" w:space="0" w:color="000000"/>
            </w:tcBorders>
            <w:tcMar>
              <w:top w:w="60" w:type="dxa"/>
              <w:left w:w="100" w:type="dxa"/>
              <w:bottom w:w="60" w:type="dxa"/>
              <w:right w:w="100" w:type="dxa"/>
            </w:tcMar>
          </w:tcPr>
          <w:p w14:paraId="565DC051" w14:textId="77777777" w:rsidR="00D83A2A" w:rsidRDefault="00000000">
            <w:pPr>
              <w:spacing w:line="276" w:lineRule="auto"/>
            </w:pPr>
            <w:r>
              <w:rPr>
                <w:sz w:val="20"/>
                <w:szCs w:val="20"/>
              </w:rPr>
              <w:t>.761</w:t>
            </w:r>
          </w:p>
        </w:tc>
        <w:tc>
          <w:tcPr>
            <w:tcW w:w="1600" w:type="dxa"/>
            <w:tcBorders>
              <w:bottom w:val="single" w:sz="4" w:space="0" w:color="000000"/>
            </w:tcBorders>
            <w:tcMar>
              <w:top w:w="60" w:type="dxa"/>
              <w:left w:w="100" w:type="dxa"/>
              <w:bottom w:w="60" w:type="dxa"/>
              <w:right w:w="100" w:type="dxa"/>
            </w:tcMar>
          </w:tcPr>
          <w:p w14:paraId="65A7B9E4" w14:textId="77777777" w:rsidR="00D83A2A" w:rsidRDefault="00000000">
            <w:pPr>
              <w:spacing w:line="276" w:lineRule="auto"/>
            </w:pPr>
            <w:r>
              <w:rPr>
                <w:sz w:val="20"/>
                <w:szCs w:val="20"/>
              </w:rPr>
              <w:t>.597</w:t>
            </w:r>
          </w:p>
        </w:tc>
        <w:tc>
          <w:tcPr>
            <w:tcW w:w="2960" w:type="dxa"/>
            <w:tcBorders>
              <w:bottom w:val="single" w:sz="4" w:space="0" w:color="000000"/>
            </w:tcBorders>
            <w:tcMar>
              <w:top w:w="60" w:type="dxa"/>
              <w:left w:w="100" w:type="dxa"/>
              <w:bottom w:w="60" w:type="dxa"/>
              <w:right w:w="100" w:type="dxa"/>
            </w:tcMar>
          </w:tcPr>
          <w:p w14:paraId="6E935131" w14:textId="77777777" w:rsidR="00D83A2A" w:rsidRDefault="00000000">
            <w:pPr>
              <w:spacing w:line="276" w:lineRule="auto"/>
            </w:pPr>
            <w:r>
              <w:rPr>
                <w:sz w:val="20"/>
                <w:szCs w:val="20"/>
              </w:rPr>
              <w:t>1,306</w:t>
            </w:r>
          </w:p>
        </w:tc>
      </w:tr>
    </w:tbl>
    <w:p w14:paraId="78F2F4CD" w14:textId="77777777" w:rsidR="00D83A2A" w:rsidRDefault="00D83A2A">
      <w:pPr>
        <w:spacing w:after="200"/>
      </w:pPr>
    </w:p>
    <w:p w14:paraId="1BA6539C" w14:textId="77777777" w:rsidR="00D83A2A" w:rsidRDefault="00000000">
      <w:pPr>
        <w:spacing w:line="480" w:lineRule="auto"/>
        <w:ind w:firstLine="720"/>
      </w:pPr>
      <w:r>
        <w:t>A threshold of 0.30 is recommended for early-warning deployment. At this threshold, the model captures approximately two-thirds of actual withdrawals while flagging 2,306 students for intervention, a volume that is operationally manageable for most institutional support teams. Higher thresholds reduce the intervention volume but miss a substantially larger share of at-risk students.</w:t>
      </w:r>
    </w:p>
    <w:p w14:paraId="56E25A2B" w14:textId="77777777" w:rsidR="00D83A2A" w:rsidRDefault="00000000">
      <w:pPr>
        <w:spacing w:before="240" w:line="480" w:lineRule="auto"/>
      </w:pPr>
      <w:r>
        <w:rPr>
          <w:b/>
          <w:bCs/>
        </w:rPr>
        <w:t>Feature Importance and Model Explainability</w:t>
      </w:r>
    </w:p>
    <w:p w14:paraId="44A9FCF0" w14:textId="77777777" w:rsidR="00D83A2A" w:rsidRDefault="00000000">
      <w:pPr>
        <w:spacing w:line="480" w:lineRule="auto"/>
        <w:ind w:firstLine="720"/>
      </w:pPr>
      <w:r>
        <w:t>SHAP analysis (Lundberg &amp; Lee, 2017) was applied to the Balanced Random Forest to identify which features most strongly influence withdrawal predictions. The top predictors are avg_score, last_activity, studied_credits, num_submitted, date_registration, and avg_clicks_day.</w:t>
      </w:r>
    </w:p>
    <w:p w14:paraId="48594A72" w14:textId="77777777" w:rsidR="00D83A2A" w:rsidRDefault="00000000">
      <w:pPr>
        <w:spacing w:line="480" w:lineRule="auto"/>
        <w:ind w:firstLine="720"/>
      </w:pPr>
      <w:r>
        <w:t xml:space="preserve">The SHAP summary plot reveals clear directionality in feature effects. Higher average assessment scores push predictions away from withdrawal risk, while lower values increase predicted risk. Similarly, more recent last activity dates (closer to Day 30) are associated with lower withdrawal probability, while students whose last activity occurred well before the Day 30 </w:t>
      </w:r>
      <w:r>
        <w:lastRenderedPageBreak/>
        <w:t>cutoff show elevated risk. Higher course loads (studied_credits) are associated with increased risk, possibly reflecting students who overcommit early.</w:t>
      </w:r>
    </w:p>
    <w:p w14:paraId="2489C74A" w14:textId="77777777" w:rsidR="00D83A2A" w:rsidRDefault="00000000">
      <w:pPr>
        <w:spacing w:line="480" w:lineRule="auto"/>
        <w:ind w:firstLine="720"/>
      </w:pPr>
      <w:r>
        <w:t>These results reinforce the finding that early engagement and assessment performance are the dominant predictors of dropout, while demographic variables contribute meaningful but secondary context. The interpretability of these features supports the model’s use in a decision-support setting, where academic advisors need to understand why a student was flagged in order to design appropriate interventions.</w:t>
      </w:r>
    </w:p>
    <w:p w14:paraId="54AF2D7C" w14:textId="77777777" w:rsidR="00D83A2A" w:rsidRDefault="00000000">
      <w:pPr>
        <w:spacing w:before="240" w:line="480" w:lineRule="auto"/>
      </w:pPr>
      <w:r>
        <w:rPr>
          <w:b/>
          <w:bCs/>
        </w:rPr>
        <w:t>Intervention Simulation</w:t>
      </w:r>
    </w:p>
    <w:p w14:paraId="5F70D273" w14:textId="77777777" w:rsidR="00D83A2A" w:rsidRDefault="00000000">
      <w:pPr>
        <w:spacing w:line="480" w:lineRule="auto"/>
        <w:ind w:firstLine="720"/>
      </w:pPr>
      <w:r>
        <w:t>To translate model performance into estimated real-world impact, an intervention simulation was conducted using the 0.30 threshold. At this operating point, the model flags 2,320 students in the test set, of whom 1,352 are actual withdrawals (true positives). Under a conservative assumption that targeted outreach retains 20% of correctly identified at-risk students, the model would support the retention of approximately 270 students in the evaluated sample.</w:t>
      </w:r>
    </w:p>
    <w:p w14:paraId="06466EE8" w14:textId="77777777" w:rsidR="00D83A2A" w:rsidRDefault="00000000">
      <w:pPr>
        <w:spacing w:line="480" w:lineRule="auto"/>
        <w:ind w:firstLine="720"/>
      </w:pPr>
      <w:r>
        <w:t>While the 20% intervention success rate is an assumption rather than an empirically validated figure, it provides a framework for estimating operational impact and calculating potential return on investment. At scale, even modest retention improvements translate to significant gains in completion rates and revenue.</w:t>
      </w:r>
    </w:p>
    <w:p w14:paraId="571967B0" w14:textId="77777777" w:rsidR="00D83A2A" w:rsidRDefault="00000000">
      <w:pPr>
        <w:spacing w:before="240" w:line="480" w:lineRule="auto"/>
      </w:pPr>
      <w:r>
        <w:rPr>
          <w:b/>
          <w:bCs/>
        </w:rPr>
        <w:t>Rolling Window Analysis</w:t>
      </w:r>
    </w:p>
    <w:p w14:paraId="04ABA7A1" w14:textId="77777777" w:rsidR="00D83A2A" w:rsidRDefault="00000000">
      <w:pPr>
        <w:spacing w:line="480" w:lineRule="auto"/>
        <w:ind w:firstLine="720"/>
      </w:pPr>
      <w:r>
        <w:t xml:space="preserve">A rolling window analysis was performed to examine how prediction quality evolves as more behavioral data becomes available. The model was re-scored at Day 30, 44, 58, 72, 86, and 100 using features recalculated at each cutoff. The average predicted risk for students who eventually withdrew increases steadily over time, while the average risk for students who stayed </w:t>
      </w:r>
      <w:r>
        <w:lastRenderedPageBreak/>
        <w:t>remains relatively stable. This confirms that the model’s discriminative ability improves with additional data.</w:t>
      </w:r>
    </w:p>
    <w:p w14:paraId="484A730D" w14:textId="77777777" w:rsidR="00D83A2A" w:rsidRDefault="00000000">
      <w:pPr>
        <w:spacing w:line="480" w:lineRule="auto"/>
        <w:ind w:firstLine="720"/>
      </w:pPr>
      <w:r>
        <w:t>Notably, 881 students showed a risk score increase of more than 0.30 between Day 30 and Day 100, indicating a meaningful group whose disengagement emerges later in the course. This supports the case for a periodic re-scoring cadence (e.g., every two weeks) rather than a single static prediction at Day 30.</w:t>
      </w:r>
    </w:p>
    <w:p w14:paraId="6B2C8FF6" w14:textId="77777777" w:rsidR="00D83A2A" w:rsidRDefault="00000000">
      <w:r>
        <w:br w:type="page"/>
      </w:r>
    </w:p>
    <w:p w14:paraId="279BD332" w14:textId="77777777" w:rsidR="00D83A2A" w:rsidRDefault="00000000">
      <w:pPr>
        <w:spacing w:before="240" w:line="480" w:lineRule="auto"/>
        <w:jc w:val="center"/>
      </w:pPr>
      <w:r>
        <w:rPr>
          <w:b/>
          <w:bCs/>
        </w:rPr>
        <w:lastRenderedPageBreak/>
        <w:t>Limitations and Future Work</w:t>
      </w:r>
    </w:p>
    <w:p w14:paraId="2001DE30" w14:textId="77777777" w:rsidR="00D83A2A" w:rsidRDefault="00000000">
      <w:pPr>
        <w:spacing w:before="240" w:line="480" w:lineRule="auto"/>
      </w:pPr>
      <w:r>
        <w:rPr>
          <w:b/>
          <w:bCs/>
        </w:rPr>
        <w:t>Limitations</w:t>
      </w:r>
    </w:p>
    <w:p w14:paraId="02B593AF" w14:textId="77777777" w:rsidR="00D83A2A" w:rsidRDefault="00000000">
      <w:pPr>
        <w:spacing w:line="480" w:lineRule="auto"/>
        <w:ind w:firstLine="720"/>
      </w:pPr>
      <w:r>
        <w:t>Several limitations should be considered when interpreting these results and planning deployment.</w:t>
      </w:r>
    </w:p>
    <w:p w14:paraId="0AEF558D" w14:textId="77777777" w:rsidR="00D83A2A" w:rsidRDefault="00000000">
      <w:pPr>
        <w:spacing w:line="480" w:lineRule="auto"/>
        <w:ind w:firstLine="720"/>
      </w:pPr>
      <w:r>
        <w:rPr>
          <w:b/>
          <w:bCs/>
        </w:rPr>
        <w:t xml:space="preserve">Early window signal constraint. </w:t>
      </w:r>
      <w:r>
        <w:t>The Day 30 cutoff deliberately limits the behavioral signal available to the model. Students who eventually withdraw do not always exhibit clear disengagement patterns within the first 30 days, particularly in courses with staggered assessment schedules or delayed VLE usage requirements. This constraint is inherent to the early-warning design and represents a trade-off between prediction timing and accuracy.</w:t>
      </w:r>
    </w:p>
    <w:p w14:paraId="1AB1C5D0" w14:textId="77777777" w:rsidR="00D83A2A" w:rsidRDefault="00000000">
      <w:pPr>
        <w:spacing w:line="480" w:lineRule="auto"/>
        <w:ind w:firstLine="720"/>
      </w:pPr>
      <w:r>
        <w:rPr>
          <w:b/>
          <w:bCs/>
        </w:rPr>
        <w:t xml:space="preserve">Single institution dataset. </w:t>
      </w:r>
      <w:r>
        <w:t>The OULAD dataset represents a single institution (the Open University) with specific course structures, student demographics, and pedagogical approaches. Model performance may not generalize directly to other platforms or institutions without retraining on local data.</w:t>
      </w:r>
    </w:p>
    <w:p w14:paraId="30FE80E4" w14:textId="77777777" w:rsidR="00D83A2A" w:rsidRDefault="00000000">
      <w:pPr>
        <w:spacing w:line="480" w:lineRule="auto"/>
        <w:ind w:firstLine="720"/>
      </w:pPr>
      <w:r>
        <w:rPr>
          <w:b/>
          <w:bCs/>
        </w:rPr>
        <w:t xml:space="preserve">Static feature aggregation. </w:t>
      </w:r>
      <w:r>
        <w:t>The current approach aggregates behavioral features into summary statistics (totals, means, counts) over the entire prediction window. This discards temporal patterns such as declining engagement trajectories or accelerating disengagement that could provide additional predictive signal.</w:t>
      </w:r>
    </w:p>
    <w:p w14:paraId="2EA3683C" w14:textId="77777777" w:rsidR="00D83A2A" w:rsidRDefault="00000000">
      <w:pPr>
        <w:spacing w:line="480" w:lineRule="auto"/>
        <w:ind w:firstLine="720"/>
      </w:pPr>
      <w:r>
        <w:rPr>
          <w:b/>
          <w:bCs/>
        </w:rPr>
        <w:t xml:space="preserve">Assumed intervention effectiveness. </w:t>
      </w:r>
      <w:r>
        <w:t>The intervention simulation uses a 20% retention rate assumption. Actual intervention effectiveness depends on many factors including the type of outreach, timing, student circumstances, and institutional support capacity. The simulated impact should be treated as an order-of-magnitude estimate rather than a precise forecast.</w:t>
      </w:r>
    </w:p>
    <w:p w14:paraId="4DE286DF" w14:textId="77777777" w:rsidR="00D83A2A" w:rsidRDefault="00000000">
      <w:pPr>
        <w:spacing w:line="480" w:lineRule="auto"/>
        <w:ind w:firstLine="720"/>
      </w:pPr>
      <w:r>
        <w:rPr>
          <w:b/>
          <w:bCs/>
        </w:rPr>
        <w:t xml:space="preserve">Potential data leakage from student ID merges. </w:t>
      </w:r>
      <w:r>
        <w:t xml:space="preserve">The VLE and assessment data were merged on id_student rather than on the full enrollment key (code_module, code_presentation, </w:t>
      </w:r>
      <w:r>
        <w:lastRenderedPageBreak/>
        <w:t>id_student). This means that for students enrolled in multiple courses, behavioral data from other courses could be inadvertently included. A production implementation should enforce strict enrollment-level isolation.</w:t>
      </w:r>
    </w:p>
    <w:p w14:paraId="065CFCA2" w14:textId="77777777" w:rsidR="00D83A2A" w:rsidRDefault="00000000">
      <w:pPr>
        <w:spacing w:before="240" w:line="480" w:lineRule="auto"/>
      </w:pPr>
      <w:r>
        <w:rPr>
          <w:b/>
          <w:bCs/>
        </w:rPr>
        <w:t>Future Work</w:t>
      </w:r>
    </w:p>
    <w:p w14:paraId="38548607" w14:textId="77777777" w:rsidR="00D83A2A" w:rsidRDefault="00000000">
      <w:pPr>
        <w:spacing w:line="480" w:lineRule="auto"/>
        <w:ind w:firstLine="720"/>
      </w:pPr>
      <w:r>
        <w:t>Several extensions could improve the practical utility of this system. First, implementing sequential re-scoring at regular intervals (e.g., every two weeks) would capture late-emerging disengagement patterns identified in the rolling window analysis. Second, engineering time-series features that capture engagement trends within the prediction window, such as week-over-week click decline or assessment score trajectories, could improve predictive power. Third, evaluating additional modeling approaches including XGBoost, LightGBM, and neural network architectures designed for sequential behavioral data may yield further gains. Fourth, conducting A/B testing with actual intervention programs would empirically validate the assumed 20% retention rate. Fifth, developing a monitoring dashboard with drift detection would enable tracking of model performance over time as student populations evolve. Finally, extending the feature set to include forum participation, content-specific interaction patterns, and peer collaboration metrics could strengthen the behavioral signal.</w:t>
      </w:r>
    </w:p>
    <w:p w14:paraId="1DA696B5" w14:textId="77777777" w:rsidR="00D83A2A" w:rsidRDefault="00000000">
      <w:r>
        <w:br w:type="page"/>
      </w:r>
    </w:p>
    <w:p w14:paraId="1AF06144" w14:textId="77777777" w:rsidR="00D83A2A" w:rsidRDefault="00000000">
      <w:pPr>
        <w:spacing w:before="240" w:line="480" w:lineRule="auto"/>
        <w:jc w:val="center"/>
      </w:pPr>
      <w:r>
        <w:rPr>
          <w:b/>
          <w:bCs/>
        </w:rPr>
        <w:lastRenderedPageBreak/>
        <w:t>Ethical Considerations</w:t>
      </w:r>
    </w:p>
    <w:p w14:paraId="12D03A6F" w14:textId="77777777" w:rsidR="00D83A2A" w:rsidRDefault="00000000">
      <w:pPr>
        <w:spacing w:line="480" w:lineRule="auto"/>
        <w:ind w:firstLine="720"/>
      </w:pPr>
      <w:r>
        <w:t>Deploying a predictive system that flags individual students for intervention raises important ethical questions. This section addresses the key areas of concern.</w:t>
      </w:r>
    </w:p>
    <w:p w14:paraId="595E67CC" w14:textId="77777777" w:rsidR="00D83A2A" w:rsidRDefault="00000000">
      <w:pPr>
        <w:spacing w:before="240" w:line="480" w:lineRule="auto"/>
      </w:pPr>
      <w:r>
        <w:rPr>
          <w:b/>
          <w:bCs/>
        </w:rPr>
        <w:t>Potential Harms</w:t>
      </w:r>
    </w:p>
    <w:p w14:paraId="15C0F526" w14:textId="77777777" w:rsidR="00D83A2A" w:rsidRDefault="00000000">
      <w:pPr>
        <w:spacing w:line="480" w:lineRule="auto"/>
        <w:ind w:firstLine="720"/>
      </w:pPr>
      <w:r>
        <w:t>The primary risk of harm comes from how predictions are acted upon. Students flagged as high-risk could experience stigmatization if risk labels are shared broadly within the institution or if interventions are delivered in ways that feel intrusive or patronizing. Conversely, students who are not flagged (false negatives) may be denied support they need, reinforcing existing inequities in access to academic assistance.</w:t>
      </w:r>
    </w:p>
    <w:p w14:paraId="268965D5" w14:textId="77777777" w:rsidR="00D83A2A" w:rsidRDefault="00000000">
      <w:pPr>
        <w:spacing w:line="480" w:lineRule="auto"/>
        <w:ind w:firstLine="720"/>
      </w:pPr>
      <w:r>
        <w:t>There is also a risk that the model becomes a self-fulfilling prophecy. If instructors or advisors are aware of a student’s high-risk status, they may unconsciously lower their expectations or reduce their investment in that student, which could paradoxically increase the likelihood of withdrawal. For this reason, risk scores should be used to trigger supportive outreach rather than to inform grading or instructional decisions.</w:t>
      </w:r>
    </w:p>
    <w:p w14:paraId="00146A9C" w14:textId="77777777" w:rsidR="00D83A2A" w:rsidRDefault="00000000">
      <w:pPr>
        <w:spacing w:before="240" w:line="480" w:lineRule="auto"/>
      </w:pPr>
      <w:r>
        <w:rPr>
          <w:b/>
          <w:bCs/>
        </w:rPr>
        <w:t>Bias Assessment</w:t>
      </w:r>
    </w:p>
    <w:p w14:paraId="2A4A8810" w14:textId="77777777" w:rsidR="00D83A2A" w:rsidRDefault="00000000">
      <w:pPr>
        <w:spacing w:line="480" w:lineRule="auto"/>
        <w:ind w:firstLine="720"/>
      </w:pPr>
      <w:r>
        <w:t>The OULAD dataset includes several demographic variables (gender, region, age_band, disability, imd_band) that could introduce or reflect societal biases. The model includes region and imd_band as features, which correlate with socioeconomic status and geographic disadvantage. While these variables have legitimate predictive value, their inclusion means the model may assign systematically higher risk scores to students from disadvantaged backgrounds.</w:t>
      </w:r>
    </w:p>
    <w:p w14:paraId="085299CB" w14:textId="77777777" w:rsidR="00D83A2A" w:rsidRDefault="00000000">
      <w:pPr>
        <w:spacing w:line="480" w:lineRule="auto"/>
        <w:ind w:firstLine="720"/>
      </w:pPr>
      <w:r>
        <w:t xml:space="preserve">A fairness audit should be conducted before deployment to evaluate whether the model’s error rates (false positive and false negative rates) are equitable across demographic subgroups. If significant disparities are found, mitigation strategies such as calibrated thresholds per </w:t>
      </w:r>
      <w:r>
        <w:lastRenderedPageBreak/>
        <w:t>subgroup or the removal of proxy variables should be considered. The current model was not explicitly tested for demographic fairness, which is a limitation that should be addressed in future work.</w:t>
      </w:r>
    </w:p>
    <w:p w14:paraId="63E2C8E6" w14:textId="77777777" w:rsidR="00D83A2A" w:rsidRDefault="00000000">
      <w:pPr>
        <w:spacing w:before="240" w:line="480" w:lineRule="auto"/>
      </w:pPr>
      <w:r>
        <w:rPr>
          <w:b/>
          <w:bCs/>
        </w:rPr>
        <w:t>Privacy</w:t>
      </w:r>
    </w:p>
    <w:p w14:paraId="0E421CB0" w14:textId="77777777" w:rsidR="00D83A2A" w:rsidRDefault="00000000">
      <w:pPr>
        <w:spacing w:line="480" w:lineRule="auto"/>
        <w:ind w:firstLine="720"/>
      </w:pPr>
      <w:r>
        <w:t>The OULAD dataset has been anonymized by the Open University, with student identifiers replaced by numeric IDs and geographic regions aggregated to broad categories. However, a production deployment would require processing real student data, including behavioral logs that reveal detailed patterns of daily activity, assessment performance, and engagement timing.</w:t>
      </w:r>
    </w:p>
    <w:p w14:paraId="19534C74" w14:textId="77777777" w:rsidR="00D83A2A" w:rsidRDefault="00000000">
      <w:pPr>
        <w:spacing w:line="480" w:lineRule="auto"/>
        <w:ind w:firstLine="720"/>
      </w:pPr>
      <w:r>
        <w:t>Institutional deployments must comply with applicable data protection regulations such as FERPA (in the United States) or GDPR (in Europe). Students should be informed that their learning platform interactions may be used for predictive analytics and should have the ability to opt out of proactive outreach programs. Data access should be restricted to authorized personnel with a legitimate educational interest.</w:t>
      </w:r>
    </w:p>
    <w:p w14:paraId="2BA8C0AE" w14:textId="77777777" w:rsidR="00D83A2A" w:rsidRDefault="00000000">
      <w:pPr>
        <w:spacing w:before="240" w:line="480" w:lineRule="auto"/>
      </w:pPr>
      <w:r>
        <w:rPr>
          <w:b/>
          <w:bCs/>
        </w:rPr>
        <w:t>Misuse Potential</w:t>
      </w:r>
    </w:p>
    <w:p w14:paraId="03F49214" w14:textId="77777777" w:rsidR="00D83A2A" w:rsidRDefault="00000000">
      <w:pPr>
        <w:spacing w:line="480" w:lineRule="auto"/>
        <w:ind w:firstLine="720"/>
      </w:pPr>
      <w:r>
        <w:t>The most significant misuse risk is using the model’s output for punitive rather than supportive purposes. Risk scores should never be used to restrict student access to courses, inform admissions decisions, or influence grading. The system is designed exclusively as a decision-support tool for proactive intervention.</w:t>
      </w:r>
    </w:p>
    <w:p w14:paraId="5894CBF3" w14:textId="77777777" w:rsidR="00D83A2A" w:rsidRDefault="00000000">
      <w:pPr>
        <w:spacing w:line="480" w:lineRule="auto"/>
        <w:ind w:firstLine="720"/>
      </w:pPr>
      <w:r>
        <w:t xml:space="preserve">Another misuse scenario involves over-reliance on the model without human judgment. The model captures statistical patterns in historical data and cannot account for individual circumstances such as personal emergencies, employment changes, or health issues. All flagged </w:t>
      </w:r>
      <w:r>
        <w:lastRenderedPageBreak/>
        <w:t>students should receive personalized outreach from a human advisor rather than automated responses.</w:t>
      </w:r>
    </w:p>
    <w:p w14:paraId="5F611C71" w14:textId="77777777" w:rsidR="00D83A2A" w:rsidRDefault="00000000">
      <w:pPr>
        <w:spacing w:before="240" w:line="480" w:lineRule="auto"/>
      </w:pPr>
      <w:r>
        <w:rPr>
          <w:b/>
          <w:bCs/>
        </w:rPr>
        <w:t>Transparency and Explainability</w:t>
      </w:r>
    </w:p>
    <w:p w14:paraId="2B8CFBDC" w14:textId="77777777" w:rsidR="00D83A2A" w:rsidRDefault="00000000">
      <w:pPr>
        <w:spacing w:line="480" w:lineRule="auto"/>
        <w:ind w:firstLine="720"/>
      </w:pPr>
      <w:r>
        <w:t>The use of SHAP values provides a mechanism for explaining individual predictions to both advisors and students (Lundberg &amp; Lee, 2017). When a student is flagged for outreach, the advisor can see which factors contributed most to the risk score and tailor their conversation accordingly.</w:t>
      </w:r>
    </w:p>
    <w:p w14:paraId="5AA6F479" w14:textId="77777777" w:rsidR="00D83A2A" w:rsidRDefault="00000000">
      <w:pPr>
        <w:spacing w:line="480" w:lineRule="auto"/>
        <w:ind w:firstLine="720"/>
      </w:pPr>
      <w:r>
        <w:t>Students who receive outreach should be informed that the contact was prompted by patterns in their early course engagement, not by any judgment about their ability or potential. Transparency about the system’s existence and purpose helps maintain trust between students and the institution.</w:t>
      </w:r>
    </w:p>
    <w:p w14:paraId="51FD9FB8" w14:textId="77777777" w:rsidR="00D83A2A" w:rsidRDefault="00000000">
      <w:pPr>
        <w:spacing w:line="480" w:lineRule="auto"/>
        <w:ind w:firstLine="720"/>
      </w:pPr>
      <w:r>
        <w:t>The model and its development process are fully documented through this report, the MLflow experiment logs, and the project code repository. This transparency supports institutional review and ongoing governance of the predictive system.</w:t>
      </w:r>
    </w:p>
    <w:p w14:paraId="09E546EA" w14:textId="77777777" w:rsidR="00D83A2A" w:rsidRDefault="00000000">
      <w:r>
        <w:br w:type="page"/>
      </w:r>
    </w:p>
    <w:p w14:paraId="3BDE3628" w14:textId="77777777" w:rsidR="00D83A2A" w:rsidRDefault="00000000">
      <w:pPr>
        <w:spacing w:before="240" w:line="480" w:lineRule="auto"/>
        <w:jc w:val="center"/>
      </w:pPr>
      <w:r>
        <w:rPr>
          <w:b/>
          <w:bCs/>
        </w:rPr>
        <w:lastRenderedPageBreak/>
        <w:t>References</w:t>
      </w:r>
    </w:p>
    <w:p w14:paraId="56D06A61" w14:textId="77777777" w:rsidR="00D83A2A" w:rsidRDefault="00000000">
      <w:pPr>
        <w:spacing w:line="480" w:lineRule="auto"/>
        <w:ind w:left="720" w:hanging="720"/>
      </w:pPr>
      <w:r>
        <w:t>Breiman, L. (2001). Random forests. Machine Learning, 45(1), 5–32. https://doi.org/10.1023/A:1010933404324</w:t>
      </w:r>
    </w:p>
    <w:p w14:paraId="148E00E1" w14:textId="77777777" w:rsidR="00D83A2A" w:rsidRDefault="00000000">
      <w:pPr>
        <w:spacing w:line="480" w:lineRule="auto"/>
        <w:ind w:left="720" w:hanging="720"/>
      </w:pPr>
      <w:r>
        <w:t>Friedman, J. H. (2001). Greedy function approximation: A gradient boosting machine. Annals of Statistics, 29(5), 1189–1232. https://doi.org/10.1214/aos/1013203451</w:t>
      </w:r>
    </w:p>
    <w:p w14:paraId="26C471F6" w14:textId="77777777" w:rsidR="00D83A2A" w:rsidRDefault="00000000">
      <w:pPr>
        <w:spacing w:line="480" w:lineRule="auto"/>
        <w:ind w:left="720" w:hanging="720"/>
      </w:pPr>
      <w:r>
        <w:t>Kuzilek, J., Hlosta, M., &amp; Zdrahal, Z. (2017). Open University Learning Analytics Dataset. Scientific Data, 4, 170171. https://doi.org/10.1038/sdata.2017.171</w:t>
      </w:r>
    </w:p>
    <w:p w14:paraId="5954A303" w14:textId="77777777" w:rsidR="00D83A2A" w:rsidRDefault="00000000">
      <w:pPr>
        <w:spacing w:line="480" w:lineRule="auto"/>
        <w:ind w:left="720" w:hanging="720"/>
      </w:pPr>
      <w:r>
        <w:t>Lundberg, S. M., &amp; Lee, S. I. (2017). A unified approach to interpreting model predictions. Advances in Neural Information Processing Systems, 30, 4765–4774.</w:t>
      </w:r>
    </w:p>
    <w:p w14:paraId="1EFE9038" w14:textId="77777777" w:rsidR="00D83A2A" w:rsidRDefault="00000000">
      <w:pPr>
        <w:spacing w:line="480" w:lineRule="auto"/>
        <w:ind w:left="720" w:hanging="720"/>
      </w:pPr>
      <w:r>
        <w:t>Pedregosa, F., Varoquaux, G., Gramfort, A., Michel, V., Thirion, B., Grisel, O., Blondel, M., Prettenhofer, P., Weiss, R., Dubourg, V., Vanderplas, J., Passos, A., Cournapeau, D., Brucher, M., Perrot, M., &amp; Duchesnay, E. (2011). Scikit-learn: Machine learning in Python. Journal of Machine Learning Research, 12, 2825–2830.</w:t>
      </w:r>
    </w:p>
    <w:p w14:paraId="26EF7DED" w14:textId="77777777" w:rsidR="00D83A2A" w:rsidRDefault="00000000">
      <w:pPr>
        <w:spacing w:line="480" w:lineRule="auto"/>
        <w:ind w:left="720" w:hanging="720"/>
      </w:pPr>
      <w:r>
        <w:t>Zaharia, M., Chen, A., Davidson, A., Ghodsi, A., Hong, S. A., Konwinski, A., Murching, S., Nykodym, T., Ogilvie, P., Parkhe, M., Xie, F., &amp; Zuber, C. (2018). Accelerating the machine learning lifecycle with MLflow. IEEE Data Engineering Bulletin, 41(4), 39–45.</w:t>
      </w:r>
    </w:p>
    <w:sectPr w:rsidR="00D83A2A">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A9700" w14:textId="77777777" w:rsidR="009F5FF8" w:rsidRDefault="009F5FF8">
      <w:r>
        <w:separator/>
      </w:r>
    </w:p>
  </w:endnote>
  <w:endnote w:type="continuationSeparator" w:id="0">
    <w:p w14:paraId="7D98C1A2" w14:textId="77777777" w:rsidR="009F5FF8" w:rsidRDefault="009F5F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07E19" w14:textId="77777777" w:rsidR="00D83A2A" w:rsidRDefault="00000000">
    <w:pPr>
      <w:jc w:val="center"/>
    </w:pPr>
    <w:r>
      <w:fldChar w:fldCharType="begin"/>
    </w:r>
    <w:r>
      <w:instrText>PAGE</w:instrText>
    </w:r>
    <w:r>
      <w:fldChar w:fldCharType="separate"/>
    </w:r>
    <w:r w:rsidR="005F298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7DCD7D" w14:textId="77777777" w:rsidR="009F5FF8" w:rsidRDefault="009F5FF8">
      <w:r>
        <w:separator/>
      </w:r>
    </w:p>
  </w:footnote>
  <w:footnote w:type="continuationSeparator" w:id="0">
    <w:p w14:paraId="30B65982" w14:textId="77777777" w:rsidR="009F5FF8" w:rsidRDefault="009F5F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66391"/>
    <w:multiLevelType w:val="hybridMultilevel"/>
    <w:tmpl w:val="F70E9BF2"/>
    <w:lvl w:ilvl="0" w:tplc="1A42D06C">
      <w:start w:val="1"/>
      <w:numFmt w:val="bullet"/>
      <w:lvlText w:val="●"/>
      <w:lvlJc w:val="left"/>
      <w:pPr>
        <w:ind w:left="720" w:hanging="360"/>
      </w:pPr>
    </w:lvl>
    <w:lvl w:ilvl="1" w:tplc="3E387428">
      <w:start w:val="1"/>
      <w:numFmt w:val="bullet"/>
      <w:lvlText w:val="○"/>
      <w:lvlJc w:val="left"/>
      <w:pPr>
        <w:ind w:left="1440" w:hanging="360"/>
      </w:pPr>
    </w:lvl>
    <w:lvl w:ilvl="2" w:tplc="B256310E">
      <w:start w:val="1"/>
      <w:numFmt w:val="bullet"/>
      <w:lvlText w:val="■"/>
      <w:lvlJc w:val="left"/>
      <w:pPr>
        <w:ind w:left="2160" w:hanging="360"/>
      </w:pPr>
    </w:lvl>
    <w:lvl w:ilvl="3" w:tplc="30A469AA">
      <w:start w:val="1"/>
      <w:numFmt w:val="bullet"/>
      <w:lvlText w:val="●"/>
      <w:lvlJc w:val="left"/>
      <w:pPr>
        <w:ind w:left="2880" w:hanging="360"/>
      </w:pPr>
    </w:lvl>
    <w:lvl w:ilvl="4" w:tplc="05029460">
      <w:start w:val="1"/>
      <w:numFmt w:val="bullet"/>
      <w:lvlText w:val="○"/>
      <w:lvlJc w:val="left"/>
      <w:pPr>
        <w:ind w:left="3600" w:hanging="360"/>
      </w:pPr>
    </w:lvl>
    <w:lvl w:ilvl="5" w:tplc="C4AA4260">
      <w:start w:val="1"/>
      <w:numFmt w:val="bullet"/>
      <w:lvlText w:val="■"/>
      <w:lvlJc w:val="left"/>
      <w:pPr>
        <w:ind w:left="4320" w:hanging="360"/>
      </w:pPr>
    </w:lvl>
    <w:lvl w:ilvl="6" w:tplc="B2F03B36">
      <w:start w:val="1"/>
      <w:numFmt w:val="bullet"/>
      <w:lvlText w:val="●"/>
      <w:lvlJc w:val="left"/>
      <w:pPr>
        <w:ind w:left="5040" w:hanging="360"/>
      </w:pPr>
    </w:lvl>
    <w:lvl w:ilvl="7" w:tplc="DEB69E58">
      <w:start w:val="1"/>
      <w:numFmt w:val="bullet"/>
      <w:lvlText w:val="●"/>
      <w:lvlJc w:val="left"/>
      <w:pPr>
        <w:ind w:left="5760" w:hanging="360"/>
      </w:pPr>
    </w:lvl>
    <w:lvl w:ilvl="8" w:tplc="105859A4">
      <w:start w:val="1"/>
      <w:numFmt w:val="bullet"/>
      <w:lvlText w:val="●"/>
      <w:lvlJc w:val="left"/>
      <w:pPr>
        <w:ind w:left="6480" w:hanging="360"/>
      </w:pPr>
    </w:lvl>
  </w:abstractNum>
  <w:num w:numId="1" w16cid:durableId="5926626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3A2A"/>
    <w:rsid w:val="005F298B"/>
    <w:rsid w:val="006F11E4"/>
    <w:rsid w:val="009F5FF8"/>
    <w:rsid w:val="00D83A2A"/>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decimalSymbol w:val="."/>
  <w:listSeparator w:val=","/>
  <w14:docId w14:val="500A32E9"/>
  <w15:docId w15:val="{BB93C879-366E-B641-8261-23D776088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NP"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3976</Words>
  <Characters>24777</Characters>
  <Application>Microsoft Office Word</Application>
  <DocSecurity>0</DocSecurity>
  <Lines>495</Lines>
  <Paragraphs>247</Paragraphs>
  <ScaleCrop>false</ScaleCrop>
  <Company/>
  <LinksUpToDate>false</LinksUpToDate>
  <CharactersWithSpaces>28506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Sanjog Singh Kadayat</cp:lastModifiedBy>
  <cp:revision>2</cp:revision>
  <dcterms:created xsi:type="dcterms:W3CDTF">2026-04-17T03:35:00Z</dcterms:created>
  <dcterms:modified xsi:type="dcterms:W3CDTF">2026-04-17T03:39:00Z</dcterms:modified>
</cp:coreProperties>
</file>