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Linear algebra topics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should know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Vectors and matrices, multiplication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inner product, projection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Basis, (complete, orthonormal)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Orthogonality, linear (in)dependence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eigenvalues and eigenvectors; singular values and vectors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SVD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will cover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orms, distance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Positive semidefinite (PSD)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PCA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Pseudo-inverse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Thin SVD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