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42D2" w14:textId="0401E3BE" w:rsidR="008722D6" w:rsidRPr="00545155" w:rsidRDefault="005C4C3F" w:rsidP="005C4C3F">
      <w:pPr>
        <w:spacing w:after="0"/>
        <w:jc w:val="center"/>
        <w:rPr>
          <w:b/>
          <w:bCs/>
          <w:sz w:val="22"/>
        </w:rPr>
      </w:pPr>
      <w:r w:rsidRPr="00545155">
        <w:rPr>
          <w:b/>
          <w:bCs/>
          <w:sz w:val="22"/>
        </w:rPr>
        <w:t>China’s Choice: Capturing the $5 Trillion Productivity Opportunity</w:t>
      </w:r>
    </w:p>
    <w:p w14:paraId="002E2172" w14:textId="3A5F2BA3" w:rsidR="005A36A3" w:rsidRDefault="00E840D7" w:rsidP="00E840D7">
      <w:pPr>
        <w:spacing w:after="0"/>
        <w:jc w:val="center"/>
        <w:rPr>
          <w:sz w:val="22"/>
        </w:rPr>
      </w:pPr>
      <w:r>
        <w:rPr>
          <w:sz w:val="22"/>
        </w:rPr>
        <w:t>McKinsey Global Institute, June 2016</w:t>
      </w:r>
    </w:p>
    <w:p w14:paraId="7019E261" w14:textId="77777777" w:rsidR="00E840D7" w:rsidRPr="00E840D7" w:rsidRDefault="00E840D7" w:rsidP="00E840D7">
      <w:pPr>
        <w:spacing w:after="0"/>
        <w:jc w:val="center"/>
        <w:rPr>
          <w:sz w:val="8"/>
          <w:szCs w:val="8"/>
        </w:rPr>
      </w:pPr>
    </w:p>
    <w:p w14:paraId="61D25E97" w14:textId="51A348D6" w:rsidR="009572C5" w:rsidRPr="003E19B3" w:rsidRDefault="00FB5641" w:rsidP="005A36A3">
      <w:pPr>
        <w:spacing w:after="0"/>
        <w:ind w:firstLine="720"/>
        <w:rPr>
          <w:sz w:val="22"/>
        </w:rPr>
      </w:pPr>
      <w:r w:rsidRPr="003E19B3">
        <w:rPr>
          <w:sz w:val="22"/>
        </w:rPr>
        <w:t>R</w:t>
      </w:r>
      <w:r w:rsidR="00B44C60" w:rsidRPr="003E19B3">
        <w:rPr>
          <w:sz w:val="22"/>
        </w:rPr>
        <w:t>ecently, GDP growth in China has slowed, debt has risen, and corporate performance deteriorated</w:t>
      </w:r>
      <w:r w:rsidR="007E3E45" w:rsidRPr="003E19B3">
        <w:rPr>
          <w:sz w:val="22"/>
        </w:rPr>
        <w:t>. This is supported by McK’s forecasts</w:t>
      </w:r>
      <w:r w:rsidR="0094444E" w:rsidRPr="003E19B3">
        <w:rPr>
          <w:sz w:val="22"/>
        </w:rPr>
        <w:t xml:space="preserve"> of the </w:t>
      </w:r>
      <w:r w:rsidR="007E3E45" w:rsidRPr="003E19B3">
        <w:rPr>
          <w:sz w:val="22"/>
        </w:rPr>
        <w:t>r</w:t>
      </w:r>
      <w:r w:rsidR="00B44C60" w:rsidRPr="003E19B3">
        <w:rPr>
          <w:sz w:val="22"/>
        </w:rPr>
        <w:t>atio of non-performing loans</w:t>
      </w:r>
      <w:r w:rsidR="0094444E" w:rsidRPr="003E19B3">
        <w:rPr>
          <w:sz w:val="22"/>
        </w:rPr>
        <w:t>, which indicate that this ratio</w:t>
      </w:r>
      <w:r w:rsidR="00B44C60" w:rsidRPr="003E19B3">
        <w:rPr>
          <w:sz w:val="22"/>
        </w:rPr>
        <w:t xml:space="preserve"> could </w:t>
      </w:r>
      <w:r w:rsidR="0010418D" w:rsidRPr="003E19B3">
        <w:rPr>
          <w:sz w:val="22"/>
        </w:rPr>
        <w:t xml:space="preserve">reach up to 15% in the next </w:t>
      </w:r>
      <w:r w:rsidR="00E96276" w:rsidRPr="003E19B3">
        <w:rPr>
          <w:sz w:val="22"/>
        </w:rPr>
        <w:t>3 years</w:t>
      </w:r>
      <w:r w:rsidR="0094444E" w:rsidRPr="003E19B3">
        <w:rPr>
          <w:sz w:val="22"/>
        </w:rPr>
        <w:t>.</w:t>
      </w:r>
      <w:r w:rsidR="00E96276" w:rsidRPr="003E19B3">
        <w:rPr>
          <w:sz w:val="22"/>
        </w:rPr>
        <w:t xml:space="preserve"> </w:t>
      </w:r>
      <w:r w:rsidR="007E0141" w:rsidRPr="003E19B3">
        <w:rPr>
          <w:sz w:val="22"/>
        </w:rPr>
        <w:t>With this backdrop, a</w:t>
      </w:r>
      <w:r w:rsidR="00B44C60" w:rsidRPr="003E19B3">
        <w:rPr>
          <w:sz w:val="22"/>
        </w:rPr>
        <w:t xml:space="preserve"> shift from investment-led growth model toward a growth model centered on productivity can lead to sustained future growth</w:t>
      </w:r>
      <w:r w:rsidR="007E0141" w:rsidRPr="003E19B3">
        <w:rPr>
          <w:sz w:val="22"/>
        </w:rPr>
        <w:t xml:space="preserve">. </w:t>
      </w:r>
      <w:r w:rsidR="00A777FA" w:rsidRPr="003E19B3">
        <w:rPr>
          <w:sz w:val="22"/>
        </w:rPr>
        <w:t>In fact, China’s economy is r</w:t>
      </w:r>
      <w:r w:rsidR="00B44C60" w:rsidRPr="003E19B3">
        <w:rPr>
          <w:sz w:val="22"/>
        </w:rPr>
        <w:t xml:space="preserve">ipe for </w:t>
      </w:r>
      <w:r w:rsidR="00A777FA" w:rsidRPr="003E19B3">
        <w:rPr>
          <w:sz w:val="22"/>
        </w:rPr>
        <w:t xml:space="preserve">a </w:t>
      </w:r>
      <w:r w:rsidR="00B44C60" w:rsidRPr="003E19B3">
        <w:rPr>
          <w:sz w:val="22"/>
        </w:rPr>
        <w:t xml:space="preserve">productivity </w:t>
      </w:r>
      <w:r w:rsidR="00F56D7B" w:rsidRPr="003E19B3">
        <w:rPr>
          <w:sz w:val="22"/>
        </w:rPr>
        <w:t>revolution since</w:t>
      </w:r>
      <w:r w:rsidR="00A777FA" w:rsidRPr="003E19B3">
        <w:rPr>
          <w:sz w:val="22"/>
        </w:rPr>
        <w:t xml:space="preserve"> its </w:t>
      </w:r>
      <w:r w:rsidR="00B44C60" w:rsidRPr="003E19B3">
        <w:rPr>
          <w:sz w:val="22"/>
        </w:rPr>
        <w:t>labor productivity is 15-30% of average in OECD countries</w:t>
      </w:r>
      <w:r w:rsidR="00A777FA" w:rsidRPr="003E19B3">
        <w:rPr>
          <w:sz w:val="22"/>
        </w:rPr>
        <w:t xml:space="preserve">. </w:t>
      </w:r>
      <w:r w:rsidR="007E3F6B" w:rsidRPr="003E19B3">
        <w:rPr>
          <w:sz w:val="22"/>
        </w:rPr>
        <w:t xml:space="preserve"> </w:t>
      </w:r>
    </w:p>
    <w:p w14:paraId="5CA747F5" w14:textId="09642454" w:rsidR="00B44C60" w:rsidRPr="003E19B3" w:rsidRDefault="007E3F6B" w:rsidP="00FB5641">
      <w:pPr>
        <w:spacing w:after="0"/>
        <w:ind w:firstLine="720"/>
        <w:rPr>
          <w:sz w:val="22"/>
        </w:rPr>
      </w:pPr>
      <w:r w:rsidRPr="003E19B3">
        <w:rPr>
          <w:sz w:val="22"/>
        </w:rPr>
        <w:t>The report suggests five areas of focus to improve Chinese labor force productivity and unlock sustainable economic growth: (a) s</w:t>
      </w:r>
      <w:r w:rsidR="00B44C60" w:rsidRPr="003E19B3">
        <w:rPr>
          <w:sz w:val="22"/>
        </w:rPr>
        <w:t>erve middle class consumers better, unlocking top line growth</w:t>
      </w:r>
      <w:r w:rsidRPr="003E19B3">
        <w:rPr>
          <w:sz w:val="22"/>
        </w:rPr>
        <w:t>; (b) e</w:t>
      </w:r>
      <w:r w:rsidR="00B44C60" w:rsidRPr="003E19B3">
        <w:rPr>
          <w:sz w:val="22"/>
        </w:rPr>
        <w:t>nable new business through digitization</w:t>
      </w:r>
      <w:r w:rsidRPr="003E19B3">
        <w:rPr>
          <w:sz w:val="22"/>
        </w:rPr>
        <w:t>; (c) m</w:t>
      </w:r>
      <w:r w:rsidR="00B44C60" w:rsidRPr="003E19B3">
        <w:rPr>
          <w:sz w:val="22"/>
        </w:rPr>
        <w:t>ove up value chain through innovation in R&amp;D intensive sectors</w:t>
      </w:r>
      <w:r w:rsidRPr="003E19B3">
        <w:rPr>
          <w:sz w:val="22"/>
        </w:rPr>
        <w:t>; (d) l</w:t>
      </w:r>
      <w:r w:rsidR="00B44C60" w:rsidRPr="003E19B3">
        <w:rPr>
          <w:sz w:val="22"/>
        </w:rPr>
        <w:t>ean techniques for more efficient operations</w:t>
      </w:r>
      <w:r w:rsidR="009572C5" w:rsidRPr="003E19B3">
        <w:rPr>
          <w:sz w:val="22"/>
        </w:rPr>
        <w:t>; (e) s</w:t>
      </w:r>
      <w:r w:rsidR="00B44C60" w:rsidRPr="003E19B3">
        <w:rPr>
          <w:sz w:val="22"/>
        </w:rPr>
        <w:t>trengthen competitiveness</w:t>
      </w:r>
      <w:r w:rsidR="009572C5" w:rsidRPr="003E19B3">
        <w:rPr>
          <w:sz w:val="22"/>
        </w:rPr>
        <w:t xml:space="preserve">. </w:t>
      </w:r>
    </w:p>
    <w:p w14:paraId="18806FA0" w14:textId="5665A7A4" w:rsidR="00B44C60" w:rsidRPr="003E19B3" w:rsidRDefault="00B44C60" w:rsidP="00B44C60">
      <w:pPr>
        <w:spacing w:after="0"/>
        <w:rPr>
          <w:sz w:val="22"/>
        </w:rPr>
      </w:pPr>
    </w:p>
    <w:p w14:paraId="14DD357E" w14:textId="342A9678" w:rsidR="009B6F15" w:rsidRPr="003E19B3" w:rsidRDefault="009B6F15" w:rsidP="00B44C60">
      <w:pPr>
        <w:spacing w:after="0"/>
        <w:rPr>
          <w:b/>
          <w:bCs/>
          <w:sz w:val="22"/>
        </w:rPr>
      </w:pPr>
      <w:r w:rsidRPr="003E19B3">
        <w:rPr>
          <w:b/>
          <w:bCs/>
          <w:sz w:val="22"/>
        </w:rPr>
        <w:t>Overview of Current Chinese Economy</w:t>
      </w:r>
    </w:p>
    <w:p w14:paraId="3DE89B46" w14:textId="26835B9B" w:rsidR="00B44C60" w:rsidRPr="003E19B3" w:rsidRDefault="00B44C60" w:rsidP="005A36A3">
      <w:pPr>
        <w:spacing w:after="0"/>
        <w:ind w:firstLine="720"/>
        <w:rPr>
          <w:sz w:val="22"/>
        </w:rPr>
      </w:pPr>
      <w:r w:rsidRPr="003E19B3">
        <w:rPr>
          <w:sz w:val="22"/>
        </w:rPr>
        <w:t>On many metrics, China already looks like an advanced economy</w:t>
      </w:r>
      <w:r w:rsidR="009B6F15" w:rsidRPr="003E19B3">
        <w:rPr>
          <w:sz w:val="22"/>
        </w:rPr>
        <w:t xml:space="preserve">. </w:t>
      </w:r>
      <w:r w:rsidR="009F7EEE" w:rsidRPr="003E19B3">
        <w:rPr>
          <w:sz w:val="22"/>
        </w:rPr>
        <w:t>The</w:t>
      </w:r>
      <w:r w:rsidR="009B6F15" w:rsidRPr="003E19B3">
        <w:rPr>
          <w:sz w:val="22"/>
        </w:rPr>
        <w:t xml:space="preserve"> </w:t>
      </w:r>
      <w:r w:rsidRPr="003E19B3">
        <w:rPr>
          <w:sz w:val="22"/>
        </w:rPr>
        <w:t xml:space="preserve">inflation rate </w:t>
      </w:r>
      <w:r w:rsidR="009F7EEE" w:rsidRPr="003E19B3">
        <w:rPr>
          <w:sz w:val="22"/>
        </w:rPr>
        <w:t xml:space="preserve">in China </w:t>
      </w:r>
      <w:r w:rsidRPr="003E19B3">
        <w:rPr>
          <w:sz w:val="22"/>
        </w:rPr>
        <w:t xml:space="preserve">is </w:t>
      </w:r>
      <w:r w:rsidR="009F7EEE" w:rsidRPr="003E19B3">
        <w:rPr>
          <w:sz w:val="22"/>
        </w:rPr>
        <w:t xml:space="preserve">currently </w:t>
      </w:r>
      <w:r w:rsidRPr="003E19B3">
        <w:rPr>
          <w:sz w:val="22"/>
        </w:rPr>
        <w:t>1.4 percent, far below that of developing economies such as India at 5.9 percent inflation rate in 2015</w:t>
      </w:r>
      <w:r w:rsidR="009B6F15" w:rsidRPr="003E19B3">
        <w:rPr>
          <w:sz w:val="22"/>
        </w:rPr>
        <w:t xml:space="preserve">. Almost sixty percent </w:t>
      </w:r>
      <w:r w:rsidRPr="003E19B3">
        <w:rPr>
          <w:sz w:val="22"/>
        </w:rPr>
        <w:t>of China’s exports are from knowledge-intensive industries, such as electrical machinery and telecommunications equipment</w:t>
      </w:r>
      <w:r w:rsidR="009F7EEE" w:rsidRPr="003E19B3">
        <w:rPr>
          <w:sz w:val="22"/>
        </w:rPr>
        <w:t xml:space="preserve">, which indicates that the </w:t>
      </w:r>
      <w:r w:rsidRPr="003E19B3">
        <w:rPr>
          <w:sz w:val="22"/>
        </w:rPr>
        <w:t xml:space="preserve">economy has </w:t>
      </w:r>
      <w:r w:rsidR="009F7EEE" w:rsidRPr="003E19B3">
        <w:rPr>
          <w:sz w:val="22"/>
        </w:rPr>
        <w:t xml:space="preserve">already been </w:t>
      </w:r>
      <w:r w:rsidRPr="003E19B3">
        <w:rPr>
          <w:sz w:val="22"/>
        </w:rPr>
        <w:t>diversified and globalized</w:t>
      </w:r>
      <w:r w:rsidR="009F7EEE" w:rsidRPr="003E19B3">
        <w:rPr>
          <w:sz w:val="22"/>
        </w:rPr>
        <w:t xml:space="preserve">. </w:t>
      </w:r>
    </w:p>
    <w:p w14:paraId="68E50CC3" w14:textId="4981A815" w:rsidR="009D65D8" w:rsidRPr="003E19B3" w:rsidRDefault="009D65D8" w:rsidP="009F7EEE">
      <w:pPr>
        <w:spacing w:after="0"/>
        <w:rPr>
          <w:sz w:val="22"/>
        </w:rPr>
      </w:pPr>
      <w:r w:rsidRPr="003E19B3">
        <w:rPr>
          <w:sz w:val="22"/>
        </w:rPr>
        <w:tab/>
        <w:t xml:space="preserve">The authors of the report believe that most of the Chinese economy can be categorized into five key archetypes, based on the key inputs </w:t>
      </w:r>
      <w:r w:rsidR="00113516" w:rsidRPr="003E19B3">
        <w:rPr>
          <w:sz w:val="22"/>
        </w:rPr>
        <w:t xml:space="preserve">these industries </w:t>
      </w:r>
      <w:r w:rsidRPr="003E19B3">
        <w:rPr>
          <w:sz w:val="22"/>
        </w:rPr>
        <w:t>requir</w:t>
      </w:r>
      <w:r w:rsidR="00113516" w:rsidRPr="003E19B3">
        <w:rPr>
          <w:sz w:val="22"/>
        </w:rPr>
        <w:t xml:space="preserve">e. </w:t>
      </w:r>
      <w:r w:rsidR="00113516" w:rsidRPr="003E19B3">
        <w:rPr>
          <w:sz w:val="22"/>
        </w:rPr>
        <w:t>Knowing which archetype characterizes which regions is important for developing the right productivity-led economy</w:t>
      </w:r>
      <w:r w:rsidR="00113516" w:rsidRPr="003E19B3">
        <w:rPr>
          <w:sz w:val="22"/>
        </w:rPr>
        <w:t xml:space="preserve">. </w:t>
      </w:r>
    </w:p>
    <w:tbl>
      <w:tblPr>
        <w:tblStyle w:val="TableGrid"/>
        <w:tblW w:w="0" w:type="auto"/>
        <w:tblInd w:w="53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6030"/>
      </w:tblGrid>
      <w:tr w:rsidR="00113516" w:rsidRPr="003E19B3" w14:paraId="15B331A0" w14:textId="77777777" w:rsidTr="005F5100">
        <w:trPr>
          <w:cantSplit/>
          <w:trHeight w:val="1134"/>
        </w:trPr>
        <w:tc>
          <w:tcPr>
            <w:tcW w:w="1620" w:type="dxa"/>
            <w:vAlign w:val="center"/>
          </w:tcPr>
          <w:p w14:paraId="31737128" w14:textId="6EAE5293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Capital intensity</w:t>
            </w:r>
          </w:p>
        </w:tc>
        <w:tc>
          <w:tcPr>
            <w:tcW w:w="6030" w:type="dxa"/>
            <w:vAlign w:val="center"/>
          </w:tcPr>
          <w:p w14:paraId="34C8C826" w14:textId="371D7FAB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Heavy industries such as steelmaking and chemicals, as well as infrastructure sectors</w:t>
            </w:r>
          </w:p>
        </w:tc>
      </w:tr>
      <w:tr w:rsidR="00113516" w:rsidRPr="003E19B3" w14:paraId="36F8B059" w14:textId="77777777" w:rsidTr="005F5100">
        <w:trPr>
          <w:cantSplit/>
          <w:trHeight w:val="1134"/>
        </w:trPr>
        <w:tc>
          <w:tcPr>
            <w:tcW w:w="1620" w:type="dxa"/>
            <w:vAlign w:val="center"/>
          </w:tcPr>
          <w:p w14:paraId="1683761C" w14:textId="06646277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R&amp;D intensity</w:t>
            </w:r>
          </w:p>
        </w:tc>
        <w:tc>
          <w:tcPr>
            <w:tcW w:w="6030" w:type="dxa"/>
            <w:vAlign w:val="center"/>
          </w:tcPr>
          <w:p w14:paraId="4C56BF60" w14:textId="5F71D007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In many industries, the ability to innovate and create new products and variations (or new services) is the key to success</w:t>
            </w:r>
          </w:p>
        </w:tc>
      </w:tr>
      <w:tr w:rsidR="00113516" w:rsidRPr="003E19B3" w14:paraId="39D1DF44" w14:textId="77777777" w:rsidTr="005F5100">
        <w:trPr>
          <w:cantSplit/>
          <w:trHeight w:val="1134"/>
        </w:trPr>
        <w:tc>
          <w:tcPr>
            <w:tcW w:w="1620" w:type="dxa"/>
            <w:vAlign w:val="center"/>
          </w:tcPr>
          <w:p w14:paraId="7D922470" w14:textId="17C3B968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Trade intensity</w:t>
            </w:r>
          </w:p>
        </w:tc>
        <w:tc>
          <w:tcPr>
            <w:tcW w:w="6030" w:type="dxa"/>
            <w:vAlign w:val="center"/>
          </w:tcPr>
          <w:p w14:paraId="6A8CE248" w14:textId="3C680429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Pharmaceutical and consumer electronics manufacturers operate in global markets and generate value by importing and exporting</w:t>
            </w:r>
          </w:p>
        </w:tc>
      </w:tr>
      <w:tr w:rsidR="00113516" w:rsidRPr="003E19B3" w14:paraId="193D439D" w14:textId="77777777" w:rsidTr="005F5100">
        <w:trPr>
          <w:cantSplit/>
          <w:trHeight w:val="1134"/>
        </w:trPr>
        <w:tc>
          <w:tcPr>
            <w:tcW w:w="1620" w:type="dxa"/>
            <w:vAlign w:val="center"/>
          </w:tcPr>
          <w:p w14:paraId="436EF7E3" w14:textId="5318D24E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lastRenderedPageBreak/>
              <w:t>Marketing intensity</w:t>
            </w:r>
          </w:p>
        </w:tc>
        <w:tc>
          <w:tcPr>
            <w:tcW w:w="6030" w:type="dxa"/>
            <w:vAlign w:val="center"/>
          </w:tcPr>
          <w:p w14:paraId="1328A48C" w14:textId="586B7919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To keep up with shifting tastes, consumer industries spend heavily on advertising, branding, and design</w:t>
            </w:r>
          </w:p>
        </w:tc>
      </w:tr>
      <w:tr w:rsidR="00113516" w:rsidRPr="003E19B3" w14:paraId="1D260ABB" w14:textId="77777777" w:rsidTr="005F5100">
        <w:trPr>
          <w:cantSplit/>
          <w:trHeight w:val="1134"/>
        </w:trPr>
        <w:tc>
          <w:tcPr>
            <w:tcW w:w="1620" w:type="dxa"/>
            <w:vAlign w:val="center"/>
          </w:tcPr>
          <w:p w14:paraId="5E578CB7" w14:textId="1EBE6AED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Labor intensity</w:t>
            </w:r>
          </w:p>
        </w:tc>
        <w:tc>
          <w:tcPr>
            <w:tcW w:w="6030" w:type="dxa"/>
            <w:vAlign w:val="center"/>
          </w:tcPr>
          <w:p w14:paraId="5FBE2889" w14:textId="36B8E652" w:rsidR="00113516" w:rsidRPr="003E19B3" w:rsidRDefault="00113516" w:rsidP="005F5100">
            <w:pPr>
              <w:spacing w:line="360" w:lineRule="auto"/>
              <w:rPr>
                <w:sz w:val="22"/>
              </w:rPr>
            </w:pPr>
            <w:r w:rsidRPr="003E19B3">
              <w:rPr>
                <w:sz w:val="22"/>
              </w:rPr>
              <w:t>Labor-intensive industries include agriculture, apparel, furniture making, retail, hospitality, and other low-skill manufacturing businesses</w:t>
            </w:r>
          </w:p>
        </w:tc>
      </w:tr>
    </w:tbl>
    <w:p w14:paraId="6FD2814F" w14:textId="77777777" w:rsidR="00113516" w:rsidRPr="003E19B3" w:rsidRDefault="00113516" w:rsidP="009F7EEE">
      <w:pPr>
        <w:spacing w:after="0"/>
        <w:rPr>
          <w:sz w:val="22"/>
        </w:rPr>
      </w:pPr>
    </w:p>
    <w:p w14:paraId="5F34D66E" w14:textId="28415C87" w:rsidR="00B44C60" w:rsidRPr="003E19B3" w:rsidRDefault="005F5100" w:rsidP="005A36A3">
      <w:pPr>
        <w:spacing w:after="0"/>
        <w:ind w:firstLine="720"/>
        <w:rPr>
          <w:sz w:val="22"/>
        </w:rPr>
      </w:pPr>
      <w:r w:rsidRPr="003E19B3">
        <w:rPr>
          <w:sz w:val="22"/>
        </w:rPr>
        <w:t>A downside of the i</w:t>
      </w:r>
      <w:r w:rsidR="00B44C60" w:rsidRPr="003E19B3">
        <w:rPr>
          <w:sz w:val="22"/>
        </w:rPr>
        <w:t>nvestment</w:t>
      </w:r>
      <w:r w:rsidRPr="003E19B3">
        <w:rPr>
          <w:sz w:val="22"/>
        </w:rPr>
        <w:t>-l</w:t>
      </w:r>
      <w:r w:rsidR="00B44C60" w:rsidRPr="003E19B3">
        <w:rPr>
          <w:sz w:val="22"/>
        </w:rPr>
        <w:t xml:space="preserve">ed </w:t>
      </w:r>
      <w:r w:rsidRPr="003E19B3">
        <w:rPr>
          <w:sz w:val="22"/>
        </w:rPr>
        <w:t>m</w:t>
      </w:r>
      <w:r w:rsidR="00B44C60" w:rsidRPr="003E19B3">
        <w:rPr>
          <w:sz w:val="22"/>
        </w:rPr>
        <w:t xml:space="preserve">odel </w:t>
      </w:r>
      <w:r w:rsidRPr="003E19B3">
        <w:rPr>
          <w:sz w:val="22"/>
        </w:rPr>
        <w:t xml:space="preserve">of the Chinese economy is the distortion it has created in </w:t>
      </w:r>
      <w:r w:rsidR="00BE1F32" w:rsidRPr="003E19B3">
        <w:rPr>
          <w:sz w:val="22"/>
        </w:rPr>
        <w:t>the attractive sectors of the economy from a bottom-line perspective. An example of this is the fact that in China today, the f</w:t>
      </w:r>
      <w:r w:rsidR="00B44C60" w:rsidRPr="003E19B3">
        <w:rPr>
          <w:sz w:val="22"/>
        </w:rPr>
        <w:t>inancial sector accounts for &gt;80% of economic profits</w:t>
      </w:r>
      <w:r w:rsidR="007136F4" w:rsidRPr="003E19B3">
        <w:rPr>
          <w:sz w:val="22"/>
        </w:rPr>
        <w:t xml:space="preserve">, whereas this number is close to 20% in the US. This concentration of profits makes </w:t>
      </w:r>
      <w:r w:rsidR="00B44C60" w:rsidRPr="003E19B3">
        <w:rPr>
          <w:sz w:val="22"/>
        </w:rPr>
        <w:t xml:space="preserve">China more vulnerable to demand shifts due to lack of </w:t>
      </w:r>
      <w:r w:rsidR="006F2302" w:rsidRPr="003E19B3">
        <w:rPr>
          <w:sz w:val="22"/>
        </w:rPr>
        <w:t xml:space="preserve">diversification and makes the broader economy more vulnerable to asset-related risks. </w:t>
      </w:r>
    </w:p>
    <w:p w14:paraId="12993539" w14:textId="6FBE48B4" w:rsidR="00B44C60" w:rsidRPr="003E19B3" w:rsidRDefault="000A6B81" w:rsidP="00636F36">
      <w:pPr>
        <w:spacing w:after="0"/>
        <w:rPr>
          <w:sz w:val="22"/>
        </w:rPr>
      </w:pPr>
      <w:r w:rsidRPr="003E19B3">
        <w:rPr>
          <w:sz w:val="22"/>
        </w:rPr>
        <w:tab/>
        <w:t xml:space="preserve">Looking into the corporate clients of the financial services industry, the study found that </w:t>
      </w:r>
      <w:r w:rsidR="00F071C6" w:rsidRPr="003E19B3">
        <w:rPr>
          <w:sz w:val="22"/>
        </w:rPr>
        <w:t>30% of companies have debt to EBITDA multiples &gt; 7x</w:t>
      </w:r>
      <w:r w:rsidR="00F071C6" w:rsidRPr="003E19B3">
        <w:rPr>
          <w:sz w:val="22"/>
        </w:rPr>
        <w:t>, which foreshadows significant potential defaults in bank loans, and failures for</w:t>
      </w:r>
      <w:r w:rsidR="00636F36" w:rsidRPr="003E19B3">
        <w:rPr>
          <w:sz w:val="22"/>
        </w:rPr>
        <w:t xml:space="preserve"> the less regulated shadow-banking industry. A m</w:t>
      </w:r>
      <w:r w:rsidR="00B44C60" w:rsidRPr="003E19B3">
        <w:rPr>
          <w:sz w:val="22"/>
        </w:rPr>
        <w:t>ajority of shadow-bank funding is concentrated in high-risk sectors such as mining, metals, and real estate, which are under mounting stress from slowing growth and overcapacity</w:t>
      </w:r>
      <w:r w:rsidR="00CD110A" w:rsidRPr="003E19B3">
        <w:rPr>
          <w:sz w:val="22"/>
        </w:rPr>
        <w:t>.</w:t>
      </w:r>
    </w:p>
    <w:p w14:paraId="2BE0779F" w14:textId="04C255D8" w:rsidR="00B44C60" w:rsidRPr="003E19B3" w:rsidRDefault="00CD110A" w:rsidP="00BA6691">
      <w:pPr>
        <w:spacing w:after="0"/>
        <w:rPr>
          <w:sz w:val="22"/>
        </w:rPr>
      </w:pPr>
      <w:r w:rsidRPr="003E19B3">
        <w:rPr>
          <w:sz w:val="22"/>
        </w:rPr>
        <w:tab/>
      </w:r>
      <w:r w:rsidR="00BA6691" w:rsidRPr="003E19B3">
        <w:rPr>
          <w:sz w:val="22"/>
        </w:rPr>
        <w:t>In this setting, a</w:t>
      </w:r>
      <w:r w:rsidR="00B44C60" w:rsidRPr="003E19B3">
        <w:rPr>
          <w:sz w:val="22"/>
        </w:rPr>
        <w:t xml:space="preserve"> productivity-led model can generate additional GDP and income of more than $5 trillion</w:t>
      </w:r>
      <w:r w:rsidR="00BA6691" w:rsidRPr="003E19B3">
        <w:rPr>
          <w:sz w:val="22"/>
        </w:rPr>
        <w:t xml:space="preserve"> because u</w:t>
      </w:r>
      <w:r w:rsidR="00B44C60" w:rsidRPr="003E19B3">
        <w:rPr>
          <w:sz w:val="22"/>
        </w:rPr>
        <w:t>nder the investment approach, weak players are not weeded out organically</w:t>
      </w:r>
      <w:r w:rsidR="00BA6691" w:rsidRPr="003E19B3">
        <w:rPr>
          <w:sz w:val="22"/>
        </w:rPr>
        <w:t xml:space="preserve">. Thus, for the next phase of China’s economic growth, </w:t>
      </w:r>
      <w:r w:rsidR="00BA6691" w:rsidRPr="003E19B3">
        <w:rPr>
          <w:rFonts w:cstheme="minorHAnsi"/>
          <w:sz w:val="22"/>
        </w:rPr>
        <w:t>b</w:t>
      </w:r>
      <w:r w:rsidR="00B44C60" w:rsidRPr="003E19B3">
        <w:rPr>
          <w:sz w:val="22"/>
        </w:rPr>
        <w:t xml:space="preserve">usinesses need to be allowed to fail, and the workers redeployed </w:t>
      </w:r>
      <w:r w:rsidR="00BA6691" w:rsidRPr="003E19B3">
        <w:rPr>
          <w:sz w:val="22"/>
        </w:rPr>
        <w:t>to more productive sectors.</w:t>
      </w:r>
    </w:p>
    <w:p w14:paraId="2E63E2C3" w14:textId="77777777" w:rsidR="00BA6691" w:rsidRPr="003E19B3" w:rsidRDefault="00BA6691" w:rsidP="00BA6691">
      <w:pPr>
        <w:spacing w:after="0"/>
        <w:rPr>
          <w:sz w:val="22"/>
        </w:rPr>
      </w:pPr>
    </w:p>
    <w:p w14:paraId="5D59C648" w14:textId="48FF1B85" w:rsidR="00B44C60" w:rsidRPr="003E19B3" w:rsidRDefault="00B44C60" w:rsidP="00B44C60">
      <w:pPr>
        <w:spacing w:after="0"/>
        <w:rPr>
          <w:b/>
          <w:bCs/>
          <w:sz w:val="22"/>
        </w:rPr>
      </w:pPr>
      <w:bookmarkStart w:id="0" w:name="_Hlk70434464"/>
      <w:r w:rsidRPr="003E19B3">
        <w:rPr>
          <w:b/>
          <w:bCs/>
          <w:sz w:val="22"/>
        </w:rPr>
        <w:t>Five opportunities can deliver higher productivity</w:t>
      </w:r>
    </w:p>
    <w:bookmarkEnd w:id="0"/>
    <w:p w14:paraId="5818A8D9" w14:textId="77777777" w:rsidR="00B44C60" w:rsidRPr="003E19B3" w:rsidRDefault="00B44C60" w:rsidP="00B44C60">
      <w:pPr>
        <w:pStyle w:val="ListParagraph"/>
        <w:numPr>
          <w:ilvl w:val="0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Better serve middle class consumers</w:t>
      </w:r>
    </w:p>
    <w:p w14:paraId="45126DDD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Total Chinese consumption can rise by $6T between 2015 to 2030 driven by continuing urbanization and rising incomes</w:t>
      </w:r>
    </w:p>
    <w:p w14:paraId="6F0D99BD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Consumption has been held back by income inequality and high household savings, but the assumption is that consumers are not finding enough products that fill their expectations</w:t>
      </w:r>
    </w:p>
    <w:p w14:paraId="77CFDB6C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The most attractive demographic group of consumers to capture is young urban workers who are interested in indulgence goods and lifestyle products</w:t>
      </w:r>
    </w:p>
    <w:p w14:paraId="7C21B07F" w14:textId="77777777" w:rsidR="00B44C60" w:rsidRPr="003E19B3" w:rsidRDefault="00B44C60" w:rsidP="00B44C60">
      <w:pPr>
        <w:pStyle w:val="ListParagraph"/>
        <w:numPr>
          <w:ilvl w:val="0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Digitize to enable new business processes</w:t>
      </w:r>
    </w:p>
    <w:p w14:paraId="5C55B318" w14:textId="5DC4BA84" w:rsidR="00B44C60" w:rsidRPr="003E19B3" w:rsidRDefault="00B44C60" w:rsidP="000277D1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lastRenderedPageBreak/>
        <w:t>Manufacturing companies can digitize value chains to create new markets</w:t>
      </w:r>
      <w:r w:rsidR="00BA6691" w:rsidRPr="003E19B3">
        <w:rPr>
          <w:sz w:val="22"/>
        </w:rPr>
        <w:t>: e.g., r</w:t>
      </w:r>
      <w:r w:rsidRPr="003E19B3">
        <w:rPr>
          <w:sz w:val="22"/>
        </w:rPr>
        <w:t>etailers can use tech to enable modern-format physical stores and improve efficiency through better supply-chain management</w:t>
      </w:r>
    </w:p>
    <w:p w14:paraId="32361799" w14:textId="337B7C12" w:rsidR="00B44C60" w:rsidRPr="003E19B3" w:rsidRDefault="00B44C60" w:rsidP="000277D1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Service companies can modernize how they deliver services</w:t>
      </w:r>
      <w:r w:rsidR="00BA6691" w:rsidRPr="003E19B3">
        <w:rPr>
          <w:sz w:val="22"/>
        </w:rPr>
        <w:t>: e.g., i</w:t>
      </w:r>
      <w:r w:rsidRPr="003E19B3">
        <w:rPr>
          <w:sz w:val="22"/>
        </w:rPr>
        <w:t>mprove patient care by using data to avoid redundant procedures and bad drug interactions</w:t>
      </w:r>
    </w:p>
    <w:p w14:paraId="60340DAA" w14:textId="77777777" w:rsidR="00B44C60" w:rsidRPr="003E19B3" w:rsidRDefault="00B44C60" w:rsidP="00B44C60">
      <w:pPr>
        <w:pStyle w:val="ListParagraph"/>
        <w:numPr>
          <w:ilvl w:val="0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Use digital technologies to improve processes such as management of talent from recruiting to training and retention</w:t>
      </w:r>
    </w:p>
    <w:p w14:paraId="47FD1EBB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Only 57% of universities feel that their curriculum is aligned with industry requirements</w:t>
      </w:r>
    </w:p>
    <w:p w14:paraId="5490BBF5" w14:textId="711D2F93" w:rsidR="00B44C60" w:rsidRPr="003E19B3" w:rsidRDefault="008C0524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 xml:space="preserve">Data science can be used to </w:t>
      </w:r>
      <w:r w:rsidR="00B44C60" w:rsidRPr="003E19B3">
        <w:rPr>
          <w:sz w:val="22"/>
        </w:rPr>
        <w:t xml:space="preserve">Identify retention and churn drivers for employee base to inform actions </w:t>
      </w:r>
    </w:p>
    <w:p w14:paraId="4F877F8B" w14:textId="77777777" w:rsidR="00B44C60" w:rsidRPr="003E19B3" w:rsidRDefault="00B44C60" w:rsidP="00B44C60">
      <w:pPr>
        <w:pStyle w:val="ListParagraph"/>
        <w:numPr>
          <w:ilvl w:val="0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Innovate and Move up the value chain</w:t>
      </w:r>
    </w:p>
    <w:p w14:paraId="1C34D3A9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Chinese companies have not yet emerged as global players in sectors requiring extensive R&amp;D like medical equipment manufacturing or pharmaceuticals</w:t>
      </w:r>
    </w:p>
    <w:p w14:paraId="31A8BDE8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In electronics, Chinese manufacturers can expand their global market share by moving up the value chain by manufacturing semiconductors</w:t>
      </w:r>
    </w:p>
    <w:p w14:paraId="1EE03891" w14:textId="4D1E4E71" w:rsidR="00B44C60" w:rsidRPr="003E19B3" w:rsidRDefault="00B44C60" w:rsidP="008C0524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Chinese industries only have 36 robots / 10K manufacturing workers, only 20% of the US level</w:t>
      </w:r>
      <w:r w:rsidR="008C0524" w:rsidRPr="003E19B3">
        <w:rPr>
          <w:sz w:val="22"/>
        </w:rPr>
        <w:t>; a</w:t>
      </w:r>
      <w:r w:rsidRPr="003E19B3">
        <w:rPr>
          <w:sz w:val="22"/>
        </w:rPr>
        <w:t>verage manufacturing worker in China makes 10% of average US manufacturing wage</w:t>
      </w:r>
    </w:p>
    <w:p w14:paraId="26D303B9" w14:textId="77777777" w:rsidR="00B44C60" w:rsidRPr="003E19B3" w:rsidRDefault="00B44C60" w:rsidP="00B44C60">
      <w:pPr>
        <w:pStyle w:val="ListParagraph"/>
        <w:numPr>
          <w:ilvl w:val="0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Go Global and Strengthen Competitiveness</w:t>
      </w:r>
    </w:p>
    <w:p w14:paraId="08429E70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Identify core competencies that Chinese companies want to expand through M&amp;A</w:t>
      </w:r>
    </w:p>
    <w:p w14:paraId="7EC4D413" w14:textId="77777777" w:rsidR="00B44C60" w:rsidRPr="003E19B3" w:rsidRDefault="00B44C60" w:rsidP="00B44C60">
      <w:pPr>
        <w:pStyle w:val="ListParagraph"/>
        <w:numPr>
          <w:ilvl w:val="1"/>
          <w:numId w:val="3"/>
        </w:numPr>
        <w:spacing w:after="0" w:line="360" w:lineRule="auto"/>
        <w:rPr>
          <w:sz w:val="22"/>
        </w:rPr>
      </w:pPr>
      <w:r w:rsidRPr="003E19B3">
        <w:rPr>
          <w:sz w:val="22"/>
        </w:rPr>
        <w:t>M&amp;A motivation is changing from natural resources to capabilities</w:t>
      </w:r>
    </w:p>
    <w:p w14:paraId="6D9B28DC" w14:textId="77777777" w:rsidR="000277D1" w:rsidRPr="003E19B3" w:rsidRDefault="000277D1" w:rsidP="00B44C60">
      <w:pPr>
        <w:spacing w:after="0"/>
        <w:rPr>
          <w:b/>
          <w:bCs/>
          <w:sz w:val="22"/>
        </w:rPr>
      </w:pPr>
    </w:p>
    <w:p w14:paraId="6008CF3E" w14:textId="079383DD" w:rsidR="00B44C60" w:rsidRPr="003E19B3" w:rsidRDefault="000277D1" w:rsidP="00B44C60">
      <w:pPr>
        <w:spacing w:after="0"/>
        <w:rPr>
          <w:sz w:val="22"/>
        </w:rPr>
      </w:pPr>
      <w:r w:rsidRPr="003E19B3">
        <w:rPr>
          <w:b/>
          <w:bCs/>
          <w:sz w:val="22"/>
        </w:rPr>
        <w:t>T</w:t>
      </w:r>
      <w:r w:rsidR="00B44C60" w:rsidRPr="003E19B3">
        <w:rPr>
          <w:b/>
          <w:bCs/>
          <w:sz w:val="22"/>
        </w:rPr>
        <w:t xml:space="preserve">ransforming </w:t>
      </w:r>
      <w:r w:rsidRPr="003E19B3">
        <w:rPr>
          <w:b/>
          <w:bCs/>
          <w:sz w:val="22"/>
        </w:rPr>
        <w:t>i</w:t>
      </w:r>
      <w:r w:rsidR="00B44C60" w:rsidRPr="003E19B3">
        <w:rPr>
          <w:b/>
          <w:bCs/>
          <w:sz w:val="22"/>
        </w:rPr>
        <w:t xml:space="preserve">nstitutions </w:t>
      </w:r>
      <w:r w:rsidRPr="003E19B3">
        <w:rPr>
          <w:b/>
          <w:bCs/>
          <w:sz w:val="22"/>
        </w:rPr>
        <w:t xml:space="preserve">and policy </w:t>
      </w:r>
      <w:r w:rsidR="00B44C60" w:rsidRPr="003E19B3">
        <w:rPr>
          <w:b/>
          <w:bCs/>
          <w:sz w:val="22"/>
        </w:rPr>
        <w:t xml:space="preserve">to </w:t>
      </w:r>
      <w:r w:rsidRPr="003E19B3">
        <w:rPr>
          <w:b/>
          <w:bCs/>
          <w:sz w:val="22"/>
        </w:rPr>
        <w:t>e</w:t>
      </w:r>
      <w:r w:rsidR="00B44C60" w:rsidRPr="003E19B3">
        <w:rPr>
          <w:b/>
          <w:bCs/>
          <w:sz w:val="22"/>
        </w:rPr>
        <w:t xml:space="preserve">nable </w:t>
      </w:r>
      <w:r w:rsidRPr="003E19B3">
        <w:rPr>
          <w:b/>
          <w:bCs/>
          <w:sz w:val="22"/>
        </w:rPr>
        <w:t>this t</w:t>
      </w:r>
      <w:r w:rsidR="00B44C60" w:rsidRPr="003E19B3">
        <w:rPr>
          <w:b/>
          <w:bCs/>
          <w:sz w:val="22"/>
        </w:rPr>
        <w:t>ransition</w:t>
      </w:r>
    </w:p>
    <w:p w14:paraId="4D035E8E" w14:textId="77777777" w:rsidR="00B44C60" w:rsidRPr="003E19B3" w:rsidRDefault="00B44C60" w:rsidP="00B44C60">
      <w:pPr>
        <w:pStyle w:val="ListParagraph"/>
        <w:numPr>
          <w:ilvl w:val="0"/>
          <w:numId w:val="4"/>
        </w:numPr>
        <w:spacing w:after="0" w:line="360" w:lineRule="auto"/>
        <w:rPr>
          <w:sz w:val="22"/>
        </w:rPr>
      </w:pPr>
      <w:r w:rsidRPr="003E19B3">
        <w:rPr>
          <w:sz w:val="22"/>
        </w:rPr>
        <w:t>Open more sectors to competition by dropping investment from State-Owned-Enterprises</w:t>
      </w:r>
    </w:p>
    <w:p w14:paraId="154F500B" w14:textId="77777777" w:rsidR="00B44C60" w:rsidRPr="003E19B3" w:rsidRDefault="00B44C60" w:rsidP="00B44C60">
      <w:pPr>
        <w:pStyle w:val="ListParagraph"/>
        <w:numPr>
          <w:ilvl w:val="0"/>
          <w:numId w:val="4"/>
        </w:numPr>
        <w:spacing w:after="0" w:line="360" w:lineRule="auto"/>
        <w:rPr>
          <w:sz w:val="22"/>
        </w:rPr>
      </w:pPr>
      <w:r w:rsidRPr="003E19B3">
        <w:rPr>
          <w:sz w:val="22"/>
        </w:rPr>
        <w:t>Improve breadth and quality of capital markets</w:t>
      </w:r>
    </w:p>
    <w:p w14:paraId="1EBE8366" w14:textId="77777777" w:rsidR="00B44C60" w:rsidRPr="003E19B3" w:rsidRDefault="00B44C60" w:rsidP="00B44C60">
      <w:pPr>
        <w:pStyle w:val="ListParagraph"/>
        <w:numPr>
          <w:ilvl w:val="0"/>
          <w:numId w:val="4"/>
        </w:numPr>
        <w:spacing w:after="0" w:line="360" w:lineRule="auto"/>
        <w:rPr>
          <w:sz w:val="22"/>
        </w:rPr>
      </w:pPr>
      <w:r w:rsidRPr="003E19B3">
        <w:rPr>
          <w:sz w:val="22"/>
        </w:rPr>
        <w:t>Enable corporate restructuring</w:t>
      </w:r>
    </w:p>
    <w:p w14:paraId="0DC3ABE3" w14:textId="77777777" w:rsidR="00B44C60" w:rsidRPr="003E19B3" w:rsidRDefault="00B44C60" w:rsidP="00B44C60">
      <w:pPr>
        <w:pStyle w:val="ListParagraph"/>
        <w:numPr>
          <w:ilvl w:val="0"/>
          <w:numId w:val="4"/>
        </w:numPr>
        <w:spacing w:after="0" w:line="360" w:lineRule="auto"/>
        <w:rPr>
          <w:sz w:val="22"/>
        </w:rPr>
      </w:pPr>
      <w:r w:rsidRPr="003E19B3">
        <w:rPr>
          <w:sz w:val="22"/>
        </w:rPr>
        <w:t>Invest in talent and enhance labor mobility</w:t>
      </w:r>
    </w:p>
    <w:p w14:paraId="26A5D00D" w14:textId="77777777" w:rsidR="00B44C60" w:rsidRPr="003E19B3" w:rsidRDefault="00B44C60" w:rsidP="00B44C60">
      <w:pPr>
        <w:pStyle w:val="ListParagraph"/>
        <w:numPr>
          <w:ilvl w:val="0"/>
          <w:numId w:val="4"/>
        </w:numPr>
        <w:spacing w:after="0" w:line="360" w:lineRule="auto"/>
        <w:rPr>
          <w:sz w:val="22"/>
        </w:rPr>
      </w:pPr>
      <w:r w:rsidRPr="003E19B3">
        <w:rPr>
          <w:sz w:val="22"/>
        </w:rPr>
        <w:t>Boost aggregate demand by improving access to credit, lower the cost of consumption and address income inequality</w:t>
      </w:r>
    </w:p>
    <w:p w14:paraId="422B391F" w14:textId="77777777" w:rsidR="00B44C60" w:rsidRPr="003E19B3" w:rsidRDefault="00B44C60" w:rsidP="00B44C60">
      <w:pPr>
        <w:pStyle w:val="ListParagraph"/>
        <w:numPr>
          <w:ilvl w:val="0"/>
          <w:numId w:val="4"/>
        </w:numPr>
        <w:spacing w:after="0" w:line="360" w:lineRule="auto"/>
        <w:rPr>
          <w:sz w:val="22"/>
        </w:rPr>
      </w:pPr>
      <w:r w:rsidRPr="003E19B3">
        <w:rPr>
          <w:sz w:val="22"/>
        </w:rPr>
        <w:t>Improve public sector effectiveness using technology, and resetting priorities</w:t>
      </w:r>
    </w:p>
    <w:p w14:paraId="3958B1AD" w14:textId="77777777" w:rsidR="005C4C3F" w:rsidRPr="003E19B3" w:rsidRDefault="005C4C3F" w:rsidP="005C4C3F">
      <w:pPr>
        <w:spacing w:after="0"/>
        <w:rPr>
          <w:sz w:val="22"/>
        </w:rPr>
      </w:pPr>
    </w:p>
    <w:sectPr w:rsidR="005C4C3F" w:rsidRPr="003E19B3" w:rsidSect="003E19B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BC9A" w14:textId="77777777" w:rsidR="00721E7A" w:rsidRDefault="00721E7A" w:rsidP="003E19B3">
      <w:pPr>
        <w:spacing w:after="0" w:line="240" w:lineRule="auto"/>
      </w:pPr>
      <w:r>
        <w:separator/>
      </w:r>
    </w:p>
  </w:endnote>
  <w:endnote w:type="continuationSeparator" w:id="0">
    <w:p w14:paraId="414D89D5" w14:textId="77777777" w:rsidR="00721E7A" w:rsidRDefault="00721E7A" w:rsidP="003E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394D" w14:textId="77777777" w:rsidR="00721E7A" w:rsidRDefault="00721E7A" w:rsidP="003E19B3">
      <w:pPr>
        <w:spacing w:after="0" w:line="240" w:lineRule="auto"/>
      </w:pPr>
      <w:r>
        <w:separator/>
      </w:r>
    </w:p>
  </w:footnote>
  <w:footnote w:type="continuationSeparator" w:id="0">
    <w:p w14:paraId="35370944" w14:textId="77777777" w:rsidR="00721E7A" w:rsidRDefault="00721E7A" w:rsidP="003E1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F2F12" w14:textId="0F66D6AD" w:rsidR="008B676E" w:rsidRDefault="008B676E" w:rsidP="008B676E">
    <w:pPr>
      <w:pStyle w:val="Header"/>
      <w:jc w:val="right"/>
    </w:pPr>
    <w:r>
      <w:t xml:space="preserve">Sarda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D1BF" w14:textId="3126DA0D" w:rsidR="003E19B3" w:rsidRDefault="003E19B3" w:rsidP="003E19B3">
    <w:pPr>
      <w:pStyle w:val="Header"/>
      <w:jc w:val="right"/>
    </w:pPr>
    <w:r>
      <w:t>Sheil Sarda</w:t>
    </w:r>
  </w:p>
  <w:p w14:paraId="6E117110" w14:textId="3D656294" w:rsidR="003E19B3" w:rsidRDefault="003E19B3" w:rsidP="003E19B3">
    <w:pPr>
      <w:pStyle w:val="Header"/>
      <w:jc w:val="right"/>
    </w:pPr>
    <w:r>
      <w:t>April 27</w:t>
    </w:r>
    <w:r w:rsidRPr="003E19B3">
      <w:rPr>
        <w:vertAlign w:val="superscript"/>
      </w:rPr>
      <w:t>th</w:t>
    </w:r>
    <w: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165"/>
    <w:multiLevelType w:val="hybridMultilevel"/>
    <w:tmpl w:val="51EE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84E9A"/>
    <w:multiLevelType w:val="hybridMultilevel"/>
    <w:tmpl w:val="DB4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6FBC"/>
    <w:multiLevelType w:val="hybridMultilevel"/>
    <w:tmpl w:val="DB4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C4D12"/>
    <w:multiLevelType w:val="hybridMultilevel"/>
    <w:tmpl w:val="EAE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68"/>
    <w:rsid w:val="000277D1"/>
    <w:rsid w:val="000A6B81"/>
    <w:rsid w:val="0010418D"/>
    <w:rsid w:val="00113516"/>
    <w:rsid w:val="00115368"/>
    <w:rsid w:val="001674BD"/>
    <w:rsid w:val="00193E30"/>
    <w:rsid w:val="003A148B"/>
    <w:rsid w:val="003E19B3"/>
    <w:rsid w:val="00545155"/>
    <w:rsid w:val="00571016"/>
    <w:rsid w:val="005A36A3"/>
    <w:rsid w:val="005A5345"/>
    <w:rsid w:val="005C4C3F"/>
    <w:rsid w:val="005F5100"/>
    <w:rsid w:val="00636F36"/>
    <w:rsid w:val="00645BAE"/>
    <w:rsid w:val="006F2302"/>
    <w:rsid w:val="007136F4"/>
    <w:rsid w:val="00721E7A"/>
    <w:rsid w:val="007475F9"/>
    <w:rsid w:val="007E0141"/>
    <w:rsid w:val="007E3E45"/>
    <w:rsid w:val="007E3F6B"/>
    <w:rsid w:val="00861BE1"/>
    <w:rsid w:val="008B676E"/>
    <w:rsid w:val="008C0524"/>
    <w:rsid w:val="0094444E"/>
    <w:rsid w:val="009572C5"/>
    <w:rsid w:val="009B6F15"/>
    <w:rsid w:val="009D65D8"/>
    <w:rsid w:val="009F7EEE"/>
    <w:rsid w:val="00A777FA"/>
    <w:rsid w:val="00B44C60"/>
    <w:rsid w:val="00B76402"/>
    <w:rsid w:val="00BA6691"/>
    <w:rsid w:val="00BE1F32"/>
    <w:rsid w:val="00C0280E"/>
    <w:rsid w:val="00CD110A"/>
    <w:rsid w:val="00E840D7"/>
    <w:rsid w:val="00E96276"/>
    <w:rsid w:val="00F071C6"/>
    <w:rsid w:val="00F56D7B"/>
    <w:rsid w:val="00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CFD5"/>
  <w15:chartTrackingRefBased/>
  <w15:docId w15:val="{6E5C67E6-2A58-4E72-A90D-CF86FEE4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0"/>
    <w:pPr>
      <w:spacing w:line="259" w:lineRule="auto"/>
      <w:ind w:left="720"/>
      <w:contextualSpacing/>
    </w:pPr>
    <w:rPr>
      <w:rFonts w:cstheme="minorHAnsi"/>
    </w:rPr>
  </w:style>
  <w:style w:type="table" w:styleId="TableGrid">
    <w:name w:val="Table Grid"/>
    <w:basedOn w:val="TableNormal"/>
    <w:uiPriority w:val="39"/>
    <w:rsid w:val="0011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B3"/>
  </w:style>
  <w:style w:type="paragraph" w:styleId="Footer">
    <w:name w:val="footer"/>
    <w:basedOn w:val="Normal"/>
    <w:link w:val="FooterChar"/>
    <w:uiPriority w:val="99"/>
    <w:unhideWhenUsed/>
    <w:rsid w:val="003E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Sheil</dc:creator>
  <cp:keywords/>
  <dc:description/>
  <cp:lastModifiedBy>Sarda, Sheil</cp:lastModifiedBy>
  <cp:revision>40</cp:revision>
  <dcterms:created xsi:type="dcterms:W3CDTF">2021-04-27T20:50:00Z</dcterms:created>
  <dcterms:modified xsi:type="dcterms:W3CDTF">2021-04-27T21:18:00Z</dcterms:modified>
</cp:coreProperties>
</file>