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Pr="00667341" w:rsidRDefault="00056BA9" w:rsidP="00B62660">
      <w:pPr>
        <w:spacing w:line="360" w:lineRule="auto"/>
        <w:ind w:firstLine="708"/>
        <w:jc w:val="center"/>
        <w:rPr>
          <w:b/>
        </w:rPr>
      </w:pPr>
      <w:bookmarkStart w:id="0" w:name="_GoBack"/>
      <w:bookmarkEnd w:id="0"/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E07B7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мережою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розлянуто</w:t>
      </w:r>
      <w:proofErr w:type="spellEnd"/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</w:p>
    <w:p w:rsidR="0082528C" w:rsidRPr="00446F3A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четвертому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експериментального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r w:rsidR="00446F3A" w:rsidRPr="0044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AC" w:rsidRPr="001E55AB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визначеня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Функциональная пригодность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Точность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поддерживать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Величина, обратная к частоте отказов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практичность.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усилиям, затрачиваемым пользователями, чтобы воспринять набор понятий, 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обучения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 чтобы научиться работе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предпринимаемым пользователями, чтобы решать свои задачи с помощью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эффективность.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заданных условиях обеспечивать необходимую работоспособность по отношению к выделяемым для этого ресурсам.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Можно определить ее и как отношение получаемых с помощью ПО результатов к затрачиваемым на это ресурсам.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выдавать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внесения изменений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Стабильность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сохранять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сосуществовать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 данным.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Способность ПО использоваться вместо другого ПО для решения тех же самых задач в заданном окружении.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Pr="00D7428B" w:rsidRDefault="00D7428B" w:rsidP="00D7428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ISO 25010</w:t>
      </w:r>
    </w:p>
    <w:p w:rsidR="00730ACF" w:rsidRDefault="00D7428B" w:rsidP="006709AA">
      <w:pPr>
        <w:spacing w:line="360" w:lineRule="auto"/>
        <w:ind w:firstLine="708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lastRenderedPageBreak/>
        <w:t>For this purpose the International Organization for Standardization (ISO) developed</w:t>
      </w:r>
      <w:r w:rsidRPr="00D7428B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 </w:t>
      </w:r>
      <w:r w:rsidR="00E66B32">
        <w:fldChar w:fldCharType="begin"/>
      </w:r>
      <w:r w:rsidR="00E66B32" w:rsidRPr="00E66B32">
        <w:rPr>
          <w:lang w:val="en-US"/>
        </w:rPr>
        <w:instrText xml:space="preserve"> HYPERLINK "http://www.iso.org/iso/catalogue_detail.htm?csnumber=35733" </w:instrText>
      </w:r>
      <w:r w:rsidR="00E66B32">
        <w:fldChar w:fldCharType="separate"/>
      </w:r>
      <w:r w:rsidRPr="00D7428B">
        <w:rPr>
          <w:rStyle w:val="a6"/>
          <w:rFonts w:ascii="Arial" w:hAnsi="Arial" w:cs="Arial"/>
          <w:color w:val="FE6D04"/>
          <w:sz w:val="26"/>
          <w:szCs w:val="26"/>
          <w:shd w:val="clear" w:color="auto" w:fill="FFFFFF"/>
          <w:lang w:val="en-US"/>
        </w:rPr>
        <w:t>ISO 25010</w:t>
      </w:r>
      <w:r w:rsidR="00E66B32">
        <w:rPr>
          <w:rStyle w:val="a6"/>
          <w:rFonts w:ascii="Arial" w:hAnsi="Arial" w:cs="Arial"/>
          <w:color w:val="FE6D04"/>
          <w:sz w:val="26"/>
          <w:szCs w:val="26"/>
          <w:shd w:val="clear" w:color="auto" w:fill="FFFFFF"/>
          <w:lang w:val="en-US"/>
        </w:rPr>
        <w:fldChar w:fldCharType="end"/>
      </w:r>
      <w:r w:rsidRPr="00D7428B">
        <w:rPr>
          <w:rStyle w:val="apple-converted-space"/>
          <w:rFonts w:ascii="Arial" w:hAnsi="Arial" w:cs="Arial"/>
          <w:color w:val="333333"/>
          <w:shd w:val="clear" w:color="auto" w:fill="FFFFFF"/>
          <w:vertAlign w:val="superscript"/>
          <w:lang w:val="en-US"/>
        </w:rPr>
        <w:t> </w:t>
      </w:r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[1</w:t>
      </w:r>
      <w:proofErr w:type="gramStart"/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]</w:t>
      </w: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as</w:t>
      </w:r>
      <w:proofErr w:type="gramEnd"/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a model for specifying non-functional requirements. The model shown below illustrates the categorization of non-functional requirements.</w:t>
      </w:r>
    </w:p>
    <w:p w:rsidR="00D7428B" w:rsidRDefault="00D7428B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1956" cy="2495550"/>
            <wp:effectExtent l="0" t="0" r="1270" b="0"/>
            <wp:docPr id="3" name="Рисунок 3" descr="Software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Qual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38" w:rsidRPr="00D7428B" w:rsidRDefault="00736E38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D7428B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вимоги можуть бути функціональними та </w:t>
      </w:r>
      <w:proofErr w:type="spellStart"/>
      <w:r w:rsidR="006709AA">
        <w:rPr>
          <w:rFonts w:ascii="Times New Roman" w:hAnsi="Times New Roman" w:cs="Times New Roman"/>
          <w:sz w:val="28"/>
          <w:szCs w:val="28"/>
          <w:lang w:val="uk-UA"/>
        </w:rPr>
        <w:t>нефункціональними</w:t>
      </w:r>
      <w:proofErr w:type="spellEnd"/>
      <w:r w:rsidR="006709AA">
        <w:rPr>
          <w:rFonts w:ascii="Times New Roman" w:hAnsi="Times New Roman" w:cs="Times New Roman"/>
          <w:sz w:val="28"/>
          <w:szCs w:val="28"/>
          <w:lang w:val="uk-UA"/>
        </w:rPr>
        <w:t>. Функціональні вимоги визначають 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буде якісним. Це може бути через те, що не дотримано вимог щодо </w:t>
      </w:r>
      <w:proofErr w:type="spellStart"/>
      <w:r w:rsidR="003F1289">
        <w:rPr>
          <w:rFonts w:ascii="Times New Roman" w:hAnsi="Times New Roman" w:cs="Times New Roman"/>
          <w:sz w:val="28"/>
          <w:szCs w:val="28"/>
          <w:lang w:val="uk-UA"/>
        </w:rPr>
        <w:t>нефункціональної</w:t>
      </w:r>
      <w:proofErr w:type="spellEnd"/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1E55AB"/>
    <w:rsid w:val="00225D70"/>
    <w:rsid w:val="00283475"/>
    <w:rsid w:val="00291B05"/>
    <w:rsid w:val="003F1289"/>
    <w:rsid w:val="004044BD"/>
    <w:rsid w:val="00446F3A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36E38"/>
    <w:rsid w:val="00762E23"/>
    <w:rsid w:val="007E774F"/>
    <w:rsid w:val="0082528C"/>
    <w:rsid w:val="00851F82"/>
    <w:rsid w:val="009132A7"/>
    <w:rsid w:val="009F34AC"/>
    <w:rsid w:val="00B62660"/>
    <w:rsid w:val="00B9580E"/>
    <w:rsid w:val="00C3745D"/>
    <w:rsid w:val="00D7428B"/>
    <w:rsid w:val="00E07B77"/>
    <w:rsid w:val="00E66B32"/>
    <w:rsid w:val="00E86C96"/>
    <w:rsid w:val="00E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9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23</cp:revision>
  <dcterms:created xsi:type="dcterms:W3CDTF">2017-05-23T18:20:00Z</dcterms:created>
  <dcterms:modified xsi:type="dcterms:W3CDTF">2017-05-25T15:12:00Z</dcterms:modified>
</cp:coreProperties>
</file>