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6E" w:rsidRPr="00342E6C" w:rsidRDefault="00342E6C" w:rsidP="00342E6C">
      <w:pPr>
        <w:pStyle w:val="1"/>
        <w:numPr>
          <w:ilvl w:val="0"/>
          <w:numId w:val="1"/>
        </w:numPr>
        <w:rPr>
          <w:lang w:val="ru-RU"/>
        </w:rPr>
      </w:pPr>
      <w:r w:rsidRPr="00342E6C">
        <w:rPr>
          <w:lang w:val="ru-RU"/>
        </w:rPr>
        <w:t xml:space="preserve">ДОСЛІДЖЕННЯ ІСНУЮЧИХ СТАНДАРТІВ </w:t>
      </w:r>
      <w:r w:rsidR="004E0CB0">
        <w:rPr>
          <w:lang w:val="uk-UA"/>
        </w:rPr>
        <w:t>Щ</w:t>
      </w:r>
      <w:r w:rsidRPr="00342E6C">
        <w:rPr>
          <w:lang w:val="ru-RU"/>
        </w:rPr>
        <w:t>ОДО ПОБУДОВИ СИСТЕМ ЗАХИСТУ ІНФОРМАЦІЇ</w:t>
      </w:r>
    </w:p>
    <w:p w:rsidR="00A12B06" w:rsidRPr="008D64D5" w:rsidRDefault="00BD3A88" w:rsidP="00342E6C">
      <w:pPr>
        <w:pStyle w:val="2"/>
        <w:numPr>
          <w:ilvl w:val="1"/>
          <w:numId w:val="1"/>
        </w:numPr>
        <w:rPr>
          <w:lang w:val="ru-RU"/>
        </w:rPr>
      </w:pPr>
      <w:r w:rsidRPr="008D64D5">
        <w:rPr>
          <w:lang w:val="ru-RU"/>
        </w:rPr>
        <w:t>Основні стандарти в сфері забезпечення інформаційної безпеки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r w:rsidRPr="008D64D5">
        <w:rPr>
          <w:lang w:val="ru-RU"/>
        </w:rPr>
        <w:t>Огляд системи стандартів</w:t>
      </w:r>
      <w:r w:rsidRPr="008D64D5">
        <w:t xml:space="preserve"> NIST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7B5DB7">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w:t>
      </w:r>
      <w:proofErr w:type="gramStart"/>
      <w:r w:rsidRPr="008D64D5">
        <w:rPr>
          <w:rFonts w:ascii="Times New Roman" w:hAnsi="Times New Roman" w:cs="Times New Roman"/>
          <w:sz w:val="28"/>
          <w:szCs w:val="28"/>
          <w:lang w:val="ru-RU"/>
        </w:rPr>
        <w:t>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w:t>
      </w:r>
      <w:proofErr w:type="gramEnd"/>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Default="00483A6E" w:rsidP="000D34F5">
      <w:pPr>
        <w:pStyle w:val="2"/>
        <w:rPr>
          <w:lang w:val="ru-RU"/>
        </w:rPr>
      </w:pPr>
      <w:r w:rsidRPr="008D64D5">
        <w:rPr>
          <w:lang w:val="ru-RU"/>
        </w:rPr>
        <w:t xml:space="preserve"> </w:t>
      </w:r>
    </w:p>
    <w:p w:rsidR="000B49B0" w:rsidRDefault="000B49B0" w:rsidP="000B49B0">
      <w:pPr>
        <w:rPr>
          <w:lang w:val="ru-RU"/>
        </w:rPr>
      </w:pPr>
    </w:p>
    <w:p w:rsidR="000B49B0" w:rsidRPr="000B49B0" w:rsidRDefault="000B49B0" w:rsidP="000B49B0">
      <w:pPr>
        <w:rPr>
          <w:lang w:val="ru-RU"/>
        </w:rPr>
      </w:pPr>
    </w:p>
    <w:p w:rsidR="003E77D7" w:rsidRPr="008D64D5" w:rsidRDefault="00B91690" w:rsidP="000D34F5">
      <w:pPr>
        <w:pStyle w:val="2"/>
        <w:numPr>
          <w:ilvl w:val="1"/>
          <w:numId w:val="1"/>
        </w:numPr>
        <w:ind w:left="1080"/>
        <w:rPr>
          <w:lang w:val="ru-RU"/>
        </w:rPr>
      </w:pPr>
      <w:r w:rsidRPr="008D64D5">
        <w:rPr>
          <w:rFonts w:eastAsia="Times New Roman"/>
          <w:lang w:val="ru-RU"/>
        </w:rPr>
        <w:lastRenderedPageBreak/>
        <w:t>Критерій оцінки надійності комп'ютерних систем «Помаранчева книга» (США)</w:t>
      </w:r>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342E6C">
      <w:pPr>
        <w:pStyle w:val="a3"/>
        <w:numPr>
          <w:ilvl w:val="0"/>
          <w:numId w:val="8"/>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 xml:space="preserve">для забезпечення </w:t>
      </w:r>
      <w:r w:rsidR="0063063D" w:rsidRPr="008D64D5">
        <w:rPr>
          <w:rFonts w:ascii="Times New Roman" w:eastAsia="Times New Roman" w:hAnsi="Times New Roman" w:cs="Times New Roman"/>
          <w:sz w:val="28"/>
          <w:szCs w:val="28"/>
          <w:lang w:val="ru-RU"/>
        </w:rPr>
        <w:lastRenderedPageBreak/>
        <w:t>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342E6C">
      <w:pPr>
        <w:pStyle w:val="a3"/>
        <w:numPr>
          <w:ilvl w:val="0"/>
          <w:numId w:val="7"/>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342E6C">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w:t>
      </w:r>
      <w:r w:rsidRPr="008D64D5">
        <w:rPr>
          <w:rFonts w:ascii="Times New Roman" w:hAnsi="Times New Roman" w:cs="Times New Roman"/>
          <w:sz w:val="28"/>
          <w:szCs w:val="28"/>
          <w:lang w:val="ru-RU"/>
        </w:rPr>
        <w:lastRenderedPageBreak/>
        <w:t>реєструється, всі виявлені при тестуванні недоліки повинні бути усунені;</w:t>
      </w:r>
    </w:p>
    <w:p w:rsidR="00844A79" w:rsidRPr="008D64D5" w:rsidRDefault="00286755"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r>
        <w:rPr>
          <w:lang w:val="uk-UA"/>
        </w:rPr>
        <w:t>Загальні критерії</w:t>
      </w:r>
      <w:r w:rsidR="00C83C07">
        <w:rPr>
          <w:lang w:val="uk-UA"/>
        </w:rPr>
        <w:t xml:space="preserve"> </w:t>
      </w:r>
      <w:r w:rsidR="00C83C07">
        <w:t>ISO/IEC</w:t>
      </w:r>
      <w:r w:rsidR="00C83C07">
        <w:rPr>
          <w:lang w:val="uk-UA"/>
        </w:rPr>
        <w:t>:</w:t>
      </w:r>
      <w:r w:rsidR="00C83C07">
        <w:t>15408</w:t>
      </w:r>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w:t>
      </w:r>
      <w:r w:rsidR="00CB5C10" w:rsidRPr="008D64D5">
        <w:rPr>
          <w:rFonts w:ascii="Times New Roman" w:hAnsi="Times New Roman" w:cs="Times New Roman"/>
          <w:sz w:val="28"/>
          <w:szCs w:val="28"/>
          <w:lang w:val="uk-UA"/>
        </w:rPr>
        <w:lastRenderedPageBreak/>
        <w:t xml:space="preserve">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0D34F5">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r w:rsidRPr="008D64D5">
        <w:rPr>
          <w:rFonts w:eastAsia="Times New Roman"/>
        </w:rPr>
        <w:t>Рекомендації Х.800</w:t>
      </w:r>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r w:rsidRPr="001F4581">
        <w:rPr>
          <w:lang w:val="ru-RU"/>
        </w:rPr>
        <w:t xml:space="preserve">Німецький стандарт </w:t>
      </w:r>
      <w:r w:rsidRPr="008D64D5">
        <w:t>BSI</w:t>
      </w:r>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Інфраструктура </w:t>
      </w:r>
    </w:p>
    <w:p w:rsidR="004D1869"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lastRenderedPageBreak/>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0F7908">
      <w:pPr>
        <w:pStyle w:val="a3"/>
        <w:numPr>
          <w:ilvl w:val="0"/>
          <w:numId w:val="3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0F7908">
      <w:pPr>
        <w:pStyle w:val="a3"/>
        <w:numPr>
          <w:ilvl w:val="0"/>
          <w:numId w:val="37"/>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r w:rsidRPr="008D64D5">
        <w:t>COBIT</w:t>
      </w:r>
    </w:p>
    <w:p w:rsidR="000A38DE" w:rsidRPr="000A38DE" w:rsidRDefault="000A38DE" w:rsidP="000A38DE">
      <w:pPr>
        <w:pStyle w:val="3"/>
        <w:numPr>
          <w:ilvl w:val="2"/>
          <w:numId w:val="1"/>
        </w:numPr>
        <w:ind w:left="1260"/>
        <w:rPr>
          <w:lang w:val="uk-UA"/>
        </w:rPr>
      </w:pPr>
      <w:r>
        <w:rPr>
          <w:lang w:val="uk-UA"/>
        </w:rPr>
        <w:t>Моделі зрілості</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8D64D5">
        <w:rPr>
          <w:rFonts w:ascii="Times New Roman" w:hAnsi="Times New Roman" w:cs="Times New Roman"/>
          <w:sz w:val="28"/>
          <w:szCs w:val="28"/>
          <w:lang w:val="ru-RU"/>
        </w:rPr>
        <w:t>Управління ІТ надає основу, яка пов'язує ІТ-про</w:t>
      </w:r>
      <w:r w:rsidR="00FC6493" w:rsidRPr="008D64D5">
        <w:rPr>
          <w:rFonts w:ascii="Times New Roman" w:hAnsi="Times New Roman" w:cs="Times New Roman"/>
          <w:sz w:val="28"/>
          <w:szCs w:val="28"/>
          <w:lang w:val="ru-RU"/>
        </w:rPr>
        <w:t>цеси, ІТ-ресурси і інформацію із</w:t>
      </w:r>
      <w:r w:rsidRPr="008D64D5">
        <w:rPr>
          <w:rFonts w:ascii="Times New Roman" w:hAnsi="Times New Roman" w:cs="Times New Roman"/>
          <w:sz w:val="28"/>
          <w:szCs w:val="28"/>
          <w:lang w:val="ru-RU"/>
        </w:rPr>
        <w:t xml:space="preserve"> стратегією </w:t>
      </w:r>
      <w:r w:rsidR="00FC6493"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цілями </w:t>
      </w:r>
      <w:r w:rsidR="00FC6493" w:rsidRPr="008D64D5">
        <w:rPr>
          <w:rFonts w:ascii="Times New Roman" w:hAnsi="Times New Roman" w:cs="Times New Roman"/>
          <w:sz w:val="28"/>
          <w:szCs w:val="28"/>
          <w:lang w:val="ru-RU"/>
        </w:rPr>
        <w:t>установи</w:t>
      </w:r>
      <w:r w:rsidRPr="008D64D5">
        <w:rPr>
          <w:rFonts w:ascii="Times New Roman" w:hAnsi="Times New Roman" w:cs="Times New Roman"/>
          <w:sz w:val="28"/>
          <w:szCs w:val="28"/>
          <w:lang w:val="ru-RU"/>
        </w:rPr>
        <w:t>, що дозволяє максимально ефективно в</w:t>
      </w:r>
      <w:r w:rsidR="00FC6493" w:rsidRPr="008D64D5">
        <w:rPr>
          <w:rFonts w:ascii="Times New Roman" w:hAnsi="Times New Roman" w:cs="Times New Roman"/>
          <w:sz w:val="28"/>
          <w:szCs w:val="28"/>
          <w:lang w:val="ru-RU"/>
        </w:rPr>
        <w:t xml:space="preserve">икористати інформацію, </w:t>
      </w:r>
      <w:r w:rsidR="00B74A22" w:rsidRPr="008D64D5">
        <w:rPr>
          <w:rFonts w:ascii="Times New Roman" w:hAnsi="Times New Roman" w:cs="Times New Roman"/>
          <w:sz w:val="28"/>
          <w:szCs w:val="28"/>
          <w:lang w:val="ru-RU"/>
        </w:rPr>
        <w:t xml:space="preserve">при цьому </w:t>
      </w:r>
      <w:r w:rsidR="00FC6493" w:rsidRPr="008D64D5">
        <w:rPr>
          <w:rFonts w:ascii="Times New Roman" w:hAnsi="Times New Roman" w:cs="Times New Roman"/>
          <w:sz w:val="28"/>
          <w:szCs w:val="28"/>
          <w:lang w:val="ru-RU"/>
        </w:rPr>
        <w:t>підвищ</w:t>
      </w:r>
      <w:r w:rsidR="00B74A22" w:rsidRPr="008D64D5">
        <w:rPr>
          <w:rFonts w:ascii="Times New Roman" w:hAnsi="Times New Roman" w:cs="Times New Roman"/>
          <w:sz w:val="28"/>
          <w:szCs w:val="28"/>
          <w:lang w:val="ru-RU"/>
        </w:rPr>
        <w:t>и</w:t>
      </w:r>
      <w:r w:rsidR="00FC6493" w:rsidRPr="008D64D5">
        <w:rPr>
          <w:rFonts w:ascii="Times New Roman" w:hAnsi="Times New Roman" w:cs="Times New Roman"/>
          <w:sz w:val="28"/>
          <w:szCs w:val="28"/>
          <w:lang w:val="ru-RU"/>
        </w:rPr>
        <w:t>вши</w:t>
      </w:r>
      <w:r w:rsidRPr="008D64D5">
        <w:rPr>
          <w:rFonts w:ascii="Times New Roman" w:hAnsi="Times New Roman" w:cs="Times New Roman"/>
          <w:sz w:val="28"/>
          <w:szCs w:val="28"/>
          <w:lang w:val="ru-RU"/>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Що є результатом ІТ-процесів?</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w:t>
      </w:r>
      <w:r w:rsidRPr="008D64D5">
        <w:rPr>
          <w:rFonts w:ascii="Times New Roman" w:hAnsi="Times New Roman" w:cs="Times New Roman"/>
          <w:sz w:val="28"/>
          <w:szCs w:val="28"/>
          <w:lang w:val="ru-RU"/>
        </w:rPr>
        <w:lastRenderedPageBreak/>
        <w:t xml:space="preserve">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r w:rsidRPr="008D64D5">
        <w:rPr>
          <w:lang w:val="ru-RU"/>
        </w:rPr>
        <w:t>Критичні Фактори Успіху (КФУ)</w:t>
      </w:r>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w:t>
      </w:r>
      <w:r w:rsidR="00812FA3" w:rsidRPr="008D64D5">
        <w:rPr>
          <w:rFonts w:ascii="Times New Roman" w:hAnsi="Times New Roman" w:cs="Times New Roman"/>
          <w:sz w:val="28"/>
          <w:szCs w:val="28"/>
          <w:lang w:val="ru-RU"/>
        </w:rPr>
        <w:lastRenderedPageBreak/>
        <w:t>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r w:rsidRPr="008D64D5">
        <w:rPr>
          <w:lang w:val="ru-RU"/>
        </w:rPr>
        <w:lastRenderedPageBreak/>
        <w:t>Ключові Індикатори Цілі (КІЦ)</w:t>
      </w:r>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r w:rsidRPr="008D64D5">
        <w:rPr>
          <w:lang w:val="ru-RU"/>
        </w:rPr>
        <w:t>Ключові Індикатори Результату (КІР)</w:t>
      </w:r>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r w:rsidRPr="008D64D5">
        <w:rPr>
          <w:lang w:val="ru-RU"/>
        </w:rPr>
        <w:lastRenderedPageBreak/>
        <w:t xml:space="preserve">Управління ІТ </w:t>
      </w:r>
      <w:r w:rsidR="00F84539">
        <w:rPr>
          <w:lang w:val="ru-RU"/>
        </w:rPr>
        <w:t>відповідно до</w:t>
      </w:r>
      <w:r w:rsidRPr="008D64D5">
        <w:rPr>
          <w:lang w:val="ru-RU"/>
        </w:rPr>
        <w:t xml:space="preserve"> CobiT</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r w:rsidRPr="00C8018D">
        <w:rPr>
          <w:rFonts w:eastAsia="Times New Roman"/>
          <w:lang w:val="ru-RU"/>
        </w:rPr>
        <w:t>Стандарти НД ТЗІ</w:t>
      </w:r>
    </w:p>
    <w:p w:rsidR="006E5E4E" w:rsidRPr="008D64D5" w:rsidRDefault="006E5E4E" w:rsidP="00F84539">
      <w:pPr>
        <w:pStyle w:val="3"/>
        <w:numPr>
          <w:ilvl w:val="2"/>
          <w:numId w:val="1"/>
        </w:numPr>
        <w:ind w:left="0" w:firstLine="630"/>
        <w:rPr>
          <w:lang w:val="ru-RU"/>
        </w:rPr>
      </w:pPr>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xml:space="preserve">, у </w:t>
      </w:r>
      <w:r w:rsidR="005412F5" w:rsidRPr="008D64D5">
        <w:rPr>
          <w:rFonts w:ascii="Times New Roman" w:hAnsi="Times New Roman" w:cs="Times New Roman"/>
          <w:sz w:val="28"/>
          <w:szCs w:val="28"/>
          <w:lang w:val="ru-RU"/>
        </w:rPr>
        <w:lastRenderedPageBreak/>
        <w:t>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DE2672" w:rsidRDefault="00A1070E"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362F75" w:rsidRPr="00DE2672" w:rsidRDefault="00362F75" w:rsidP="00342E6C">
      <w:pPr>
        <w:spacing w:after="0" w:line="360" w:lineRule="auto"/>
        <w:jc w:val="both"/>
        <w:rPr>
          <w:rFonts w:ascii="Times New Roman" w:hAnsi="Times New Roman" w:cs="Times New Roman"/>
          <w:sz w:val="28"/>
          <w:szCs w:val="28"/>
          <w:lang w:val="ru-RU"/>
        </w:rPr>
      </w:pPr>
    </w:p>
    <w:p w:rsidR="006E5E4E" w:rsidRPr="008D64D5" w:rsidRDefault="006E5E4E" w:rsidP="00DE2672">
      <w:pPr>
        <w:pStyle w:val="3"/>
        <w:numPr>
          <w:ilvl w:val="2"/>
          <w:numId w:val="1"/>
        </w:numPr>
        <w:ind w:left="0" w:firstLine="720"/>
        <w:rPr>
          <w:lang w:val="ru-RU"/>
        </w:rPr>
      </w:pPr>
      <w:r w:rsidRPr="008D64D5">
        <w:rPr>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342E6C">
      <w:pPr>
        <w:pStyle w:val="a3"/>
        <w:spacing w:after="0" w:line="360" w:lineRule="auto"/>
        <w:ind w:left="1080"/>
        <w:jc w:val="both"/>
        <w:rPr>
          <w:rFonts w:ascii="Times New Roman" w:hAnsi="Times New Roman" w:cs="Times New Roman"/>
          <w:sz w:val="28"/>
          <w:szCs w:val="28"/>
          <w:lang w:val="ru-RU"/>
        </w:rPr>
      </w:pPr>
    </w:p>
    <w:p w:rsidR="00891B11" w:rsidRPr="008D64D5" w:rsidRDefault="00891B11" w:rsidP="00DE2672">
      <w:pPr>
        <w:pStyle w:val="2"/>
        <w:numPr>
          <w:ilvl w:val="1"/>
          <w:numId w:val="1"/>
        </w:numPr>
        <w:ind w:left="1170"/>
        <w:rPr>
          <w:lang w:val="ru-RU"/>
        </w:rPr>
      </w:pPr>
      <w:r w:rsidRPr="008D64D5">
        <w:rPr>
          <w:rFonts w:eastAsia="Times New Roman"/>
          <w:lang w:val="uk-UA"/>
        </w:rPr>
        <w:t>С</w:t>
      </w:r>
      <w:r w:rsidRPr="008D64D5">
        <w:rPr>
          <w:rFonts w:eastAsia="Times New Roman"/>
        </w:rPr>
        <w:t>тандарт BS 7799</w:t>
      </w:r>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A3051B" w:rsidRDefault="00A3051B" w:rsidP="00342E6C">
      <w:pPr>
        <w:spacing w:after="0" w:line="360" w:lineRule="auto"/>
        <w:ind w:firstLine="450"/>
        <w:jc w:val="both"/>
        <w:rPr>
          <w:rFonts w:ascii="Times New Roman" w:hAnsi="Times New Roman" w:cs="Times New Roman"/>
          <w:sz w:val="28"/>
          <w:szCs w:val="28"/>
          <w:lang w:val="ru-RU"/>
        </w:rPr>
      </w:pPr>
    </w:p>
    <w:p w:rsidR="00A3051B" w:rsidRDefault="00A3051B" w:rsidP="00A3051B">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C83C07" w:rsidRDefault="00414DFB" w:rsidP="00C83C07">
      <w:pPr>
        <w:pStyle w:val="3"/>
        <w:spacing w:line="360" w:lineRule="auto"/>
        <w:ind w:firstLine="720"/>
        <w:rPr>
          <w:b w:val="0"/>
          <w:lang w:val="ru-RU"/>
        </w:rPr>
      </w:pPr>
      <w:r w:rsidRPr="00C83C07">
        <w:rPr>
          <w:rFonts w:cs="Times New Roman"/>
          <w:b w:val="0"/>
          <w:szCs w:val="28"/>
          <w:lang w:val="ru-RU"/>
        </w:rPr>
        <w:t>В даному розділі було проведено аналіз стандартів в сфері інформаційної безпеки.</w:t>
      </w:r>
      <w:r w:rsidR="000A6060" w:rsidRPr="00C83C07">
        <w:rPr>
          <w:rFonts w:cs="Times New Roman"/>
          <w:b w:val="0"/>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C83C07">
        <w:rPr>
          <w:rFonts w:eastAsia="Times New Roman" w:cs="Times New Roman"/>
          <w:b w:val="0"/>
          <w:szCs w:val="28"/>
          <w:lang w:val="ru-RU"/>
        </w:rPr>
        <w:t>Критерії визначення безпеки комп'ютерних систем</w:t>
      </w:r>
      <w:r w:rsidR="000A6060" w:rsidRPr="00C83C07">
        <w:rPr>
          <w:rFonts w:cs="Times New Roman"/>
          <w:b w:val="0"/>
          <w:szCs w:val="28"/>
          <w:lang w:val="ru-RU"/>
        </w:rPr>
        <w:t>”</w:t>
      </w:r>
      <w:r w:rsidR="000A6060" w:rsidRPr="00C83C07">
        <w:rPr>
          <w:rFonts w:cs="Times New Roman"/>
          <w:b w:val="0"/>
          <w:szCs w:val="28"/>
          <w:lang w:val="uk-UA"/>
        </w:rPr>
        <w:t xml:space="preserve"> проводять розділення безпеки на чотири групи, </w:t>
      </w:r>
      <w:r w:rsidR="00C83C07" w:rsidRPr="00C83C07">
        <w:rPr>
          <w:rFonts w:cs="Times New Roman"/>
          <w:b w:val="0"/>
          <w:szCs w:val="28"/>
          <w:lang w:val="uk-UA"/>
        </w:rPr>
        <w:t>а груп в свою чергу на класи безпеки</w:t>
      </w:r>
      <w:r w:rsidR="00C83C07" w:rsidRPr="00C83C07">
        <w:rPr>
          <w:rFonts w:cs="Times New Roman"/>
          <w:b w:val="0"/>
          <w:szCs w:val="28"/>
          <w:lang w:val="ru-RU"/>
        </w:rPr>
        <w:t xml:space="preserve">; </w:t>
      </w:r>
      <w:r w:rsidR="00C83C07" w:rsidRPr="00C83C07">
        <w:rPr>
          <w:rFonts w:cs="Times New Roman"/>
          <w:b w:val="0"/>
          <w:szCs w:val="28"/>
          <w:lang w:val="uk-UA"/>
        </w:rPr>
        <w:t xml:space="preserve">в той же час </w:t>
      </w:r>
      <w:r w:rsidR="00C83C07" w:rsidRPr="00C83C07">
        <w:rPr>
          <w:rFonts w:cs="Times New Roman"/>
          <w:b w:val="0"/>
          <w:szCs w:val="28"/>
        </w:rPr>
        <w:t>COBIT</w:t>
      </w:r>
      <w:r w:rsidR="00C83C07" w:rsidRPr="00C83C07">
        <w:rPr>
          <w:rFonts w:cs="Times New Roman"/>
          <w:b w:val="0"/>
          <w:szCs w:val="28"/>
          <w:lang w:val="ru-RU"/>
        </w:rPr>
        <w:t xml:space="preserve"> вимагає перевірки стану інформаційної системи на відповідність певному ріню зрілості, та впроваджує поняття </w:t>
      </w:r>
      <w:r w:rsidR="00C83C07" w:rsidRPr="00C83C07">
        <w:rPr>
          <w:b w:val="0"/>
          <w:lang w:val="ru-RU"/>
        </w:rPr>
        <w:t>к</w:t>
      </w:r>
      <w:r w:rsidR="00C83C07" w:rsidRPr="00C83C07">
        <w:rPr>
          <w:b w:val="0"/>
          <w:lang w:val="ru-RU"/>
        </w:rPr>
        <w:t>лючов</w:t>
      </w:r>
      <w:r w:rsidR="00C83C07" w:rsidRPr="00C83C07">
        <w:rPr>
          <w:b w:val="0"/>
          <w:lang w:val="ru-RU"/>
        </w:rPr>
        <w:t>их</w:t>
      </w:r>
      <w:r w:rsidR="00C83C07" w:rsidRPr="00C83C07">
        <w:rPr>
          <w:b w:val="0"/>
          <w:lang w:val="ru-RU"/>
        </w:rPr>
        <w:t xml:space="preserve"> </w:t>
      </w:r>
      <w:r w:rsidR="00C83C07" w:rsidRPr="00C83C07">
        <w:rPr>
          <w:b w:val="0"/>
          <w:lang w:val="ru-RU"/>
        </w:rPr>
        <w:t>і</w:t>
      </w:r>
      <w:r w:rsidR="00C83C07" w:rsidRPr="00C83C07">
        <w:rPr>
          <w:b w:val="0"/>
          <w:lang w:val="ru-RU"/>
        </w:rPr>
        <w:t>ндикатор</w:t>
      </w:r>
      <w:r w:rsidR="00C83C07" w:rsidRPr="00C83C07">
        <w:rPr>
          <w:b w:val="0"/>
          <w:lang w:val="ru-RU"/>
        </w:rPr>
        <w:t>ів</w:t>
      </w:r>
      <w:r w:rsidR="00C83C07" w:rsidRPr="00C83C07">
        <w:rPr>
          <w:b w:val="0"/>
          <w:lang w:val="ru-RU"/>
        </w:rPr>
        <w:t xml:space="preserve"> </w:t>
      </w:r>
      <w:r w:rsidR="00C83C07" w:rsidRPr="00C83C07">
        <w:rPr>
          <w:b w:val="0"/>
          <w:lang w:val="ru-RU"/>
        </w:rPr>
        <w:t>р</w:t>
      </w:r>
      <w:r w:rsidR="00C83C07" w:rsidRPr="00C83C07">
        <w:rPr>
          <w:b w:val="0"/>
          <w:lang w:val="ru-RU"/>
        </w:rPr>
        <w:t>езультату (КІР)</w:t>
      </w:r>
      <w:r w:rsidR="00C83C07" w:rsidRPr="00C83C07">
        <w:rPr>
          <w:b w:val="0"/>
          <w:lang w:val="ru-RU"/>
        </w:rPr>
        <w:t xml:space="preserve"> та </w:t>
      </w:r>
      <w:r w:rsidR="00C83C07" w:rsidRPr="00C83C07">
        <w:rPr>
          <w:b w:val="0"/>
          <w:lang w:val="ru-RU"/>
        </w:rPr>
        <w:t>ключових індикаторів</w:t>
      </w:r>
      <w:r w:rsidR="00C83C07" w:rsidRPr="00C83C07">
        <w:rPr>
          <w:b w:val="0"/>
          <w:lang w:val="ru-RU"/>
        </w:rPr>
        <w:t xml:space="preserve"> цілі (КІЦ);</w:t>
      </w:r>
      <w:r w:rsidR="00C83C07">
        <w:rPr>
          <w:b w:val="0"/>
          <w:lang w:val="ru-RU"/>
        </w:rPr>
        <w:t xml:space="preserve"> вітчизняні стандарти НД ТЗІ проводять розділення критеріїв до безпеки на декілька груп і всередині групи виділяють рівні.</w:t>
      </w:r>
    </w:p>
    <w:p w:rsidR="00C83C07" w:rsidRPr="00D26583" w:rsidRDefault="00C83C07" w:rsidP="00D26583">
      <w:pPr>
        <w:spacing w:line="360" w:lineRule="auto"/>
        <w:rPr>
          <w:rFonts w:ascii="Times New Roman" w:hAnsi="Times New Roman" w:cs="Times New Roman"/>
          <w:sz w:val="28"/>
          <w:szCs w:val="28"/>
          <w:lang w:val="ru-RU"/>
        </w:rPr>
      </w:pPr>
      <w:r w:rsidRPr="00D26583">
        <w:rPr>
          <w:rFonts w:ascii="Times New Roman" w:hAnsi="Times New Roman" w:cs="Times New Roman"/>
          <w:sz w:val="28"/>
          <w:szCs w:val="28"/>
          <w:lang w:val="ru-RU"/>
        </w:rPr>
        <w:tab/>
      </w:r>
      <w:r w:rsidR="00066115" w:rsidRPr="00D26583">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D26583">
        <w:rPr>
          <w:rFonts w:ascii="Times New Roman" w:hAnsi="Times New Roman" w:cs="Times New Roman"/>
          <w:sz w:val="28"/>
          <w:szCs w:val="28"/>
        </w:rPr>
        <w:t>ISO</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rPr>
        <w:t>IEC</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lang w:val="ru-RU"/>
        </w:rPr>
        <w:t>15408</w:t>
      </w:r>
      <w:r w:rsidR="00066115" w:rsidRPr="00D26583">
        <w:rPr>
          <w:rFonts w:ascii="Times New Roman" w:hAnsi="Times New Roman" w:cs="Times New Roman"/>
          <w:sz w:val="28"/>
          <w:szCs w:val="28"/>
          <w:lang w:val="ru-RU"/>
        </w:rPr>
        <w:t xml:space="preserve"> “</w:t>
      </w:r>
      <w:r w:rsidR="00066115" w:rsidRPr="00D26583">
        <w:rPr>
          <w:rFonts w:ascii="Times New Roman" w:hAnsi="Times New Roman" w:cs="Times New Roman"/>
          <w:sz w:val="28"/>
          <w:szCs w:val="28"/>
          <w:lang w:val="uk-UA"/>
        </w:rPr>
        <w:t>Загальні критерії</w:t>
      </w:r>
      <w:r w:rsidR="00066115" w:rsidRPr="00D26583">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D26583">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Pr>
          <w:rFonts w:ascii="Times New Roman" w:hAnsi="Times New Roman" w:cs="Times New Roman"/>
          <w:sz w:val="28"/>
          <w:szCs w:val="28"/>
          <w:lang w:val="ru-RU"/>
        </w:rPr>
        <w:t>на</w:t>
      </w:r>
      <w:r w:rsidR="00D26583" w:rsidRPr="00D26583">
        <w:rPr>
          <w:rFonts w:ascii="Times New Roman" w:hAnsi="Times New Roman" w:cs="Times New Roman"/>
          <w:sz w:val="28"/>
          <w:szCs w:val="28"/>
          <w:lang w:val="ru-RU"/>
        </w:rPr>
        <w:t>приклад</w:t>
      </w:r>
      <w:r w:rsidR="00317CC4">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p>
    <w:p w:rsidR="00AB54F1" w:rsidRPr="008D64D5" w:rsidRDefault="00AB54F1" w:rsidP="004F2D63">
      <w:pPr>
        <w:pStyle w:val="2"/>
        <w:numPr>
          <w:ilvl w:val="1"/>
          <w:numId w:val="1"/>
        </w:numPr>
        <w:ind w:left="1170"/>
      </w:pPr>
      <w:r w:rsidRPr="008D64D5">
        <w:rPr>
          <w:lang w:val="ru-RU"/>
        </w:rPr>
        <w:t xml:space="preserve">Структура стандарту </w:t>
      </w:r>
      <w:r w:rsidRPr="008D64D5">
        <w:t>ISO:15408</w:t>
      </w:r>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r w:rsidRPr="008D64D5">
        <w:rPr>
          <w:lang w:val="ru-RU"/>
        </w:rPr>
        <w:lastRenderedPageBreak/>
        <w:t>Етапи побудови системи безпеки ІС</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r w:rsidR="00F11FB2" w:rsidRPr="008D64D5">
        <w:rPr>
          <w:rFonts w:eastAsia="Times New Roman"/>
          <w:lang w:val="uk-UA"/>
        </w:rPr>
        <w:lastRenderedPageBreak/>
        <w:t>АНАЛІЗ ФУНКЦІОНАЛЬНИХ КЛАСІВ</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Аудит безпеки (FAU)</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BA346" wp14:editId="61D3619C">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p>
    <w:p w:rsidR="00F11FB2" w:rsidRPr="008563AC"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b/>
          <w:sz w:val="28"/>
          <w:szCs w:val="28"/>
          <w:lang w:val="ru-RU"/>
        </w:rPr>
        <w:lastRenderedPageBreak/>
        <w:t>Автоматична реакція аудиту безпеки (FAU_ARP)</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5548BD2" wp14:editId="1784AB38">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Генерація даних аудиту безпеки (FAU_GEN)</w:t>
      </w: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A93219" wp14:editId="10F3D01D">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Аналіз аудиту безпеки (FAU_SAA)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748392A4" wp14:editId="769DA0E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Перегляд аудита безпеки (FAU_SAR)</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8338DF9" wp14:editId="0CDA5643">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Вибір події з аудиту безпеки (FAU_SEL)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F2C02C9" wp14:editId="4673A692">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Зберігання даних, які отримані за результатами аудиту безпеки (FAU_STG)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DCA08CD" wp14:editId="2AC0918B">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FAU_STG.4 “Попередження втрати даних аудиту” вказує на те, як слід чинити у разі переповнення журналу аудиту.</w:t>
      </w:r>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lastRenderedPageBreak/>
        <w:t>Зв’язок (FCO)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89C38A5" wp14:editId="5C35DFCA">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надсилання (FCO_NRO)</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 xml:space="preserve">Невідхильність </w:t>
      </w:r>
      <w:r w:rsidRPr="008D64D5">
        <w:rPr>
          <w:rFonts w:ascii="Times New Roman" w:eastAsia="Times New Roman" w:hAnsi="Times New Roman" w:cs="Times New Roman"/>
          <w:sz w:val="28"/>
          <w:szCs w:val="28"/>
          <w:lang w:val="uk-UA"/>
        </w:rPr>
        <w:t>надсилання</w:t>
      </w:r>
      <w:r w:rsidRPr="008D64D5">
        <w:rPr>
          <w:rFonts w:ascii="Times New Roman" w:eastAsia="Times New Roman" w:hAnsi="Times New Roman" w:cs="Times New Roman"/>
          <w:b/>
          <w:sz w:val="28"/>
          <w:szCs w:val="28"/>
          <w:lang w:val="uk-UA"/>
        </w:rPr>
        <w:t xml:space="preserve"> (FCO_NRO)</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9D73E06" wp14:editId="71732665">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FCO_NRO.1 “Вибіркове підтвердження походження” вимагає від ФБО надання суб'єктам можливості запитувати докази походження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r w:rsidRPr="008D64D5">
        <w:rPr>
          <w:rFonts w:ascii="Times New Roman" w:eastAsia="Times New Roman" w:hAnsi="Times New Roman" w:cs="Times New Roman"/>
          <w:sz w:val="28"/>
          <w:szCs w:val="28"/>
          <w:lang w:val="uk-UA"/>
        </w:rPr>
        <w:tab/>
      </w:r>
    </w:p>
    <w:p w:rsidR="00F11FB2" w:rsidRPr="008D64D5" w:rsidRDefault="00F11FB2" w:rsidP="00F11FB2">
      <w:pPr>
        <w:pStyle w:val="a3"/>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994F610" wp14:editId="12B0A9F1">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Ідентифікація та аутентифікації (FIA)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E744C22" wp14:editId="6E997610">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p>
    <w:p w:rsidR="00F11FB2" w:rsidRPr="00F11FB2" w:rsidRDefault="00F11FB2" w:rsidP="00F11FB2">
      <w:pPr>
        <w:shd w:val="clear" w:color="auto" w:fill="FFFFFF"/>
        <w:spacing w:after="0"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Відмови в аутентифікації (FIA_AFL)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053291E" wp14:editId="615D2D8D">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ab/>
      </w:r>
      <w:r w:rsidRPr="008D64D5">
        <w:rPr>
          <w:rFonts w:ascii="Times New Roman" w:eastAsia="Times New Roman" w:hAnsi="Times New Roman" w:cs="Times New Roman"/>
          <w:b/>
          <w:sz w:val="28"/>
          <w:szCs w:val="28"/>
          <w:lang w:val="uk-UA"/>
        </w:rPr>
        <w:t>Визначення атрибутів для користувачів (FIA_ATD)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4EA96944" wp14:editId="543836E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Специфікація секретів (FIA_SOS)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B9E6C7F" wp14:editId="57B5094B">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Аутентифікація користувача (FIA_UAU)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32752F" wp14:editId="45C67E57">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Ідентифікація користувача (FIA_UID)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AE9A984" wp14:editId="21192BF5">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Пов’язування користувач-суб’єкт (FIA_USB)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14:anchorId="5DB82B59" wp14:editId="7D63CAE6">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Приватність (</w:t>
      </w:r>
      <w:r w:rsidRPr="008D64D5">
        <w:t>FPR</w:t>
      </w:r>
      <w:r w:rsidRPr="008D64D5">
        <w:rPr>
          <w:rFonts w:eastAsia="Times New Roman"/>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86BC406" wp14:editId="594C1EBA">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Анонімність (</w:t>
      </w:r>
      <w:r w:rsidRPr="008D64D5">
        <w:rPr>
          <w:rFonts w:ascii="Times New Roman" w:hAnsi="Times New Roman" w:cs="Times New Roman"/>
          <w:b/>
          <w:sz w:val="28"/>
          <w:szCs w:val="28"/>
        </w:rPr>
        <w:t>FPR</w:t>
      </w:r>
      <w:r w:rsidRPr="008D64D5">
        <w:rPr>
          <w:rFonts w:ascii="Times New Roman" w:hAnsi="Times New Roman" w:cs="Times New Roman"/>
          <w:b/>
          <w:sz w:val="28"/>
          <w:szCs w:val="28"/>
          <w:lang w:val="uk-UA"/>
        </w:rPr>
        <w:t>_</w:t>
      </w:r>
      <w:r w:rsidRPr="008D64D5">
        <w:rPr>
          <w:rFonts w:ascii="Times New Roman" w:hAnsi="Times New Roman" w:cs="Times New Roman"/>
          <w:b/>
          <w:sz w:val="28"/>
          <w:szCs w:val="28"/>
        </w:rPr>
        <w:t>ANO</w:t>
      </w:r>
      <w:r w:rsidRPr="008D64D5">
        <w:rPr>
          <w:rFonts w:ascii="Times New Roman" w:hAnsi="Times New Roman" w:cs="Times New Roman"/>
          <w:b/>
          <w:sz w:val="28"/>
          <w:szCs w:val="28"/>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843ABD9" wp14:editId="37247B59">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b/>
          <w:sz w:val="28"/>
          <w:szCs w:val="28"/>
          <w:lang w:val="uk-UA"/>
        </w:rPr>
        <w:t>Псевдонімічність</w:t>
      </w:r>
      <w:r w:rsidRPr="008D64D5">
        <w:rPr>
          <w:rFonts w:ascii="Times New Roman" w:hAnsi="Times New Roman" w:cs="Times New Roman"/>
          <w:b/>
          <w:sz w:val="28"/>
          <w:szCs w:val="28"/>
          <w:lang w:val="ru-RU"/>
        </w:rPr>
        <w:t xml:space="preserve">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D9CE52B" wp14:editId="5710624F">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lastRenderedPageBreak/>
        <w:t>Неможливість асоціації (FPR_UNL)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2A9859AD" wp14:editId="31B507A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Прихованість (FPR_UNO)</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8F48325" wp14:editId="2757C942">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F11FB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b/>
          <w:color w:val="FF0000"/>
          <w:sz w:val="28"/>
          <w:szCs w:val="28"/>
          <w:lang w:val="uk-UA"/>
        </w:rPr>
        <w:t xml:space="preserve">Доступ до ОО </w:t>
      </w:r>
      <w:r w:rsidRPr="00F11FB2">
        <w:rPr>
          <w:rFonts w:ascii="Times New Roman" w:eastAsia="Times New Roman" w:hAnsi="Times New Roman" w:cs="Times New Roman"/>
          <w:b/>
          <w:color w:val="FF0000"/>
          <w:sz w:val="28"/>
          <w:szCs w:val="28"/>
          <w:lang w:val="ru-RU"/>
        </w:rPr>
        <w:t>(</w:t>
      </w:r>
      <w:r w:rsidRPr="004B2F02">
        <w:rPr>
          <w:rFonts w:ascii="Times New Roman" w:eastAsia="Times New Roman" w:hAnsi="Times New Roman" w:cs="Times New Roman"/>
          <w:b/>
          <w:color w:val="FF0000"/>
          <w:sz w:val="28"/>
          <w:szCs w:val="28"/>
        </w:rPr>
        <w:t>FTA</w:t>
      </w:r>
      <w:r w:rsidRPr="00F11FB2">
        <w:rPr>
          <w:rFonts w:ascii="Times New Roman" w:eastAsia="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color w:val="FF0000"/>
          <w:sz w:val="28"/>
          <w:szCs w:val="28"/>
          <w:lang w:val="ru-RU"/>
        </w:rPr>
      </w:pPr>
      <w:r w:rsidRPr="004B2F02">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4B2F02">
        <w:rPr>
          <w:rFonts w:ascii="Times New Roman" w:eastAsia="Times New Roman" w:hAnsi="Times New Roman" w:cs="Times New Roman"/>
          <w:color w:val="FF0000"/>
          <w:sz w:val="28"/>
          <w:szCs w:val="28"/>
          <w:lang w:val="ru-RU"/>
        </w:rPr>
        <w:t>для контролю</w:t>
      </w:r>
      <w:proofErr w:type="gramEnd"/>
      <w:r w:rsidRPr="004B2F02">
        <w:rPr>
          <w:rFonts w:ascii="Times New Roman" w:eastAsia="Times New Roman" w:hAnsi="Times New Roman" w:cs="Times New Roman"/>
          <w:color w:val="FF0000"/>
          <w:sz w:val="28"/>
          <w:szCs w:val="28"/>
          <w:lang w:val="ru-RU"/>
        </w:rPr>
        <w:t xml:space="preserve"> за встановленням сеансів користувачів.</w:t>
      </w:r>
    </w:p>
    <w:p w:rsidR="00F11FB2" w:rsidRPr="004B2F02" w:rsidRDefault="00F11FB2" w:rsidP="00F11FB2">
      <w:pPr>
        <w:shd w:val="clear" w:color="auto" w:fill="FFFFFF"/>
        <w:spacing w:after="0" w:line="360" w:lineRule="auto"/>
        <w:jc w:val="both"/>
        <w:outlineLvl w:val="1"/>
        <w:rPr>
          <w:rFonts w:ascii="Times New Roman" w:eastAsia="Times New Roman" w:hAnsi="Times New Roman" w:cs="Times New Roman"/>
          <w:color w:val="FF0000"/>
          <w:sz w:val="28"/>
          <w:szCs w:val="28"/>
          <w:lang w:val="ru-RU"/>
        </w:rPr>
      </w:pPr>
      <w:r w:rsidRPr="004B2F02">
        <w:rPr>
          <w:noProof/>
          <w:color w:val="FF0000"/>
        </w:rPr>
        <w:drawing>
          <wp:inline distT="0" distB="0" distL="0" distR="0" wp14:anchorId="6DD09FE6" wp14:editId="779319DC">
            <wp:extent cx="5479576" cy="4777066"/>
            <wp:effectExtent l="0" t="0" r="698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0482" cy="4777856"/>
                    </a:xfrm>
                    <a:prstGeom prst="rect">
                      <a:avLst/>
                    </a:prstGeom>
                  </pic:spPr>
                </pic:pic>
              </a:graphicData>
            </a:graphic>
          </wp:inline>
        </w:drawing>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color w:val="FF0000"/>
          <w:sz w:val="28"/>
          <w:szCs w:val="28"/>
          <w:lang w:val="uk-UA"/>
        </w:rPr>
        <w:t xml:space="preserve">Рис. . Декомпозиція класу </w:t>
      </w:r>
      <w:r w:rsidRPr="004B2F02">
        <w:rPr>
          <w:rFonts w:ascii="Times New Roman" w:eastAsia="Times New Roman" w:hAnsi="Times New Roman" w:cs="Times New Roman"/>
          <w:b/>
          <w:color w:val="FF0000"/>
          <w:sz w:val="28"/>
          <w:szCs w:val="28"/>
        </w:rPr>
        <w:t>FTA</w:t>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ru-RU"/>
        </w:rPr>
      </w:pPr>
      <w:r w:rsidRPr="004B2F02">
        <w:rPr>
          <w:rFonts w:ascii="Times New Roman" w:hAnsi="Times New Roman" w:cs="Times New Roman"/>
          <w:b/>
          <w:color w:val="FF0000"/>
          <w:sz w:val="28"/>
          <w:szCs w:val="28"/>
          <w:lang w:val="ru-RU"/>
        </w:rPr>
        <w:lastRenderedPageBreak/>
        <w:t>Обмеження обсягу виділених атрибутів (</w:t>
      </w:r>
      <w:r w:rsidRPr="004B2F02">
        <w:rPr>
          <w:rFonts w:ascii="Times New Roman" w:hAnsi="Times New Roman" w:cs="Times New Roman"/>
          <w:b/>
          <w:color w:val="FF0000"/>
          <w:sz w:val="28"/>
          <w:szCs w:val="28"/>
        </w:rPr>
        <w:t>FTA</w:t>
      </w:r>
      <w:r w:rsidRPr="004B2F02">
        <w:rPr>
          <w:rFonts w:ascii="Times New Roman" w:hAnsi="Times New Roman" w:cs="Times New Roman"/>
          <w:b/>
          <w:color w:val="FF0000"/>
          <w:sz w:val="28"/>
          <w:szCs w:val="28"/>
          <w:lang w:val="ru-RU"/>
        </w:rPr>
        <w:t>_</w:t>
      </w:r>
      <w:r w:rsidRPr="004B2F02">
        <w:rPr>
          <w:rFonts w:ascii="Times New Roman" w:hAnsi="Times New Roman" w:cs="Times New Roman"/>
          <w:b/>
          <w:color w:val="FF0000"/>
          <w:sz w:val="28"/>
          <w:szCs w:val="28"/>
        </w:rPr>
        <w:t>LSA</w:t>
      </w:r>
      <w:r w:rsidRPr="004B2F02">
        <w:rPr>
          <w:rFonts w:ascii="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hAnsi="Times New Roman" w:cs="Times New Roman"/>
          <w:color w:val="FF0000"/>
          <w:sz w:val="28"/>
          <w:szCs w:val="28"/>
          <w:lang w:val="ru-RU"/>
        </w:rPr>
      </w:pPr>
      <w:r w:rsidRPr="004B2F02">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F11FB2" w:rsidRPr="004B2F02" w:rsidRDefault="00F11FB2" w:rsidP="00F11FB2">
      <w:pPr>
        <w:shd w:val="clear" w:color="auto" w:fill="FFFFFF"/>
        <w:spacing w:after="0" w:line="360" w:lineRule="auto"/>
        <w:jc w:val="both"/>
        <w:outlineLvl w:val="1"/>
        <w:rPr>
          <w:rFonts w:ascii="Times New Roman" w:hAnsi="Times New Roman" w:cs="Times New Roman"/>
          <w:color w:val="FF0000"/>
          <w:sz w:val="28"/>
          <w:szCs w:val="28"/>
          <w:lang w:val="ru-RU"/>
        </w:rPr>
      </w:pPr>
      <w:r w:rsidRPr="004B2F02">
        <w:rPr>
          <w:noProof/>
          <w:color w:val="FF0000"/>
        </w:rPr>
        <w:drawing>
          <wp:inline distT="0" distB="0" distL="0" distR="0" wp14:anchorId="61540EEC" wp14:editId="70CD5344">
            <wp:extent cx="4920018" cy="585040"/>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5169" cy="590409"/>
                    </a:xfrm>
                    <a:prstGeom prst="rect">
                      <a:avLst/>
                    </a:prstGeom>
                  </pic:spPr>
                </pic:pic>
              </a:graphicData>
            </a:graphic>
          </wp:inline>
        </w:drawing>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uk-UA"/>
        </w:rPr>
      </w:pPr>
      <w:r w:rsidRPr="004B2F02">
        <w:rPr>
          <w:rFonts w:ascii="Times New Roman" w:eastAsia="Times New Roman" w:hAnsi="Times New Roman" w:cs="Times New Roman"/>
          <w:color w:val="FF0000"/>
          <w:sz w:val="28"/>
          <w:szCs w:val="28"/>
          <w:lang w:val="uk-UA"/>
        </w:rPr>
        <w:t xml:space="preserve">Рис. . Ранжирування компонентів  в </w:t>
      </w:r>
      <w:r w:rsidRPr="004B2F02">
        <w:rPr>
          <w:rFonts w:ascii="Times New Roman" w:hAnsi="Times New Roman" w:cs="Times New Roman"/>
          <w:b/>
          <w:color w:val="FF0000"/>
          <w:sz w:val="28"/>
          <w:szCs w:val="28"/>
          <w:lang w:val="uk-UA"/>
        </w:rPr>
        <w:t>FPR_UNO</w:t>
      </w:r>
    </w:p>
    <w:p w:rsidR="00F11FB2" w:rsidRPr="00770ABC" w:rsidRDefault="00F11FB2" w:rsidP="00F11FB2">
      <w:pPr>
        <w:pStyle w:val="2"/>
        <w:numPr>
          <w:ilvl w:val="1"/>
          <w:numId w:val="1"/>
        </w:numPr>
        <w:ind w:left="1170"/>
        <w:rPr>
          <w:rFonts w:eastAsia="Times New Roman"/>
          <w:lang w:val="uk-UA"/>
        </w:rPr>
      </w:pPr>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inline distT="0" distB="0" distL="0" distR="0" wp14:anchorId="10004840" wp14:editId="75E06C21">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hAnsi="Times New Roman" w:cs="Times New Roman"/>
          <w:b/>
          <w:sz w:val="28"/>
          <w:szCs w:val="28"/>
          <w:lang w:val="uk-UA"/>
        </w:rPr>
        <w:t>Управління</w:t>
      </w:r>
      <w:r w:rsidRPr="008D64D5">
        <w:rPr>
          <w:rFonts w:ascii="Times New Roman" w:hAnsi="Times New Roman" w:cs="Times New Roman"/>
          <w:b/>
          <w:sz w:val="28"/>
          <w:szCs w:val="28"/>
          <w:lang w:val="ru-RU"/>
        </w:rPr>
        <w:t xml:space="preserve"> криптографічними ключами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3DA126A0" wp14:editId="6A538CAF">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Криптографічні операції (FCS_COP)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248F722" wp14:editId="643D99DB">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FCS_COP.1 “Криптографічні операції” вимагає виконання криптографічної операції у відповідності до заданого алгоритму та ключа з </w:t>
      </w:r>
      <w:r w:rsidRPr="008D64D5">
        <w:rPr>
          <w:rFonts w:ascii="Times New Roman" w:hAnsi="Times New Roman" w:cs="Times New Roman"/>
          <w:sz w:val="28"/>
          <w:szCs w:val="28"/>
          <w:lang w:val="uk-UA"/>
        </w:rPr>
        <w:lastRenderedPageBreak/>
        <w:t>заданими розмірами. Вказаний алгоритм та розміри ключа взмозі базуватися на певному стандарті.</w:t>
      </w:r>
    </w:p>
    <w:p w:rsidR="00F11FB2" w:rsidRPr="008D64D5" w:rsidRDefault="00F11FB2" w:rsidP="00F11FB2">
      <w:pPr>
        <w:pStyle w:val="2"/>
        <w:numPr>
          <w:ilvl w:val="1"/>
          <w:numId w:val="1"/>
        </w:numPr>
        <w:ind w:left="1170"/>
        <w:rPr>
          <w:lang w:val="uk-UA"/>
        </w:rPr>
      </w:pPr>
      <w:r w:rsidRPr="008D64D5">
        <w:rPr>
          <w:lang w:val="uk-UA"/>
        </w:rPr>
        <w:t>Довірені шляхи та канали (FTP)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Довірений маршрут гарантує, що відповіді, отримані за його допомогою захищаються від модифікації або розголошення ненадійними програмами.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2A4463D7" wp14:editId="1CB6FD8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Надійний канал передачі між ФБО (FTP_ITC)</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32A113F" wp14:editId="6FE45D8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Довірений маршрут (FTP_TRP)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14:anchorId="26E3D982" wp14:editId="0E1C1A2F">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p>
    <w:p w:rsidR="001E6D26" w:rsidRPr="008D64D5" w:rsidRDefault="00F11FB2" w:rsidP="00F11FB2">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br w:type="page"/>
      </w:r>
    </w:p>
    <w:p w:rsidR="00454D6E" w:rsidRPr="008D64D5" w:rsidRDefault="001E6D26" w:rsidP="00F11FB2">
      <w:pPr>
        <w:pStyle w:val="1"/>
        <w:numPr>
          <w:ilvl w:val="0"/>
          <w:numId w:val="1"/>
        </w:numPr>
        <w:rPr>
          <w:rFonts w:eastAsia="Times New Roman"/>
          <w:lang w:val="ru-RU"/>
        </w:rPr>
      </w:pPr>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0F2432">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0F2432">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bookmarkStart w:id="0" w:name="_GoBack"/>
      <w:bookmarkEnd w:id="0"/>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40" o:title=""/>
          </v:shape>
          <o:OLEObject Type="Embed" ProgID="Equation.3" ShapeID="_x0000_i1025" DrawAspect="Content" ObjectID="_1605290496" r:id="rId41"/>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26" type="#_x0000_t75" style="width:89.25pt;height:36.75pt" o:ole="">
            <v:imagedata r:id="rId42" o:title=""/>
          </v:shape>
          <o:OLEObject Type="Embed" ProgID="Equation.3" ShapeID="_x0000_i1026" DrawAspect="Content" ObjectID="_1605290497" r:id="rId43"/>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F67D61"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27" type="#_x0000_t75" style="width:105pt;height:36.75pt" o:ole="">
            <v:imagedata r:id="rId44" o:title=""/>
          </v:shape>
          <o:OLEObject Type="Embed" ProgID="Equation.3" ShapeID="_x0000_i1027" DrawAspect="Content" ObjectID="_1605290498" r:id="rId45"/>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lastRenderedPageBreak/>
        <w:drawing>
          <wp:inline distT="0" distB="0" distL="0" distR="0" wp14:anchorId="6CA290D4" wp14:editId="339B076F">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0263" cy="3660394"/>
                    </a:xfrm>
                    <a:prstGeom prst="rect">
                      <a:avLst/>
                    </a:prstGeom>
                  </pic:spPr>
                </pic:pic>
              </a:graphicData>
            </a:graphic>
          </wp:inline>
        </w:drawing>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624886"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ab/>
      </w:r>
      <w:r w:rsidR="00B8493E" w:rsidRPr="008D64D5">
        <w:rPr>
          <w:rFonts w:ascii="Times New Roman" w:hAnsi="Times New Roman" w:cs="Times New Roman"/>
          <w:noProof/>
        </w:rPr>
        <w:drawing>
          <wp:inline distT="0" distB="0" distL="0" distR="0" wp14:anchorId="5D78EEE3" wp14:editId="037151D6">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59630"/>
                    </a:xfrm>
                    <a:prstGeom prst="rect">
                      <a:avLst/>
                    </a:prstGeom>
                  </pic:spPr>
                </pic:pic>
              </a:graphicData>
            </a:graphic>
          </wp:inline>
        </w:drawing>
      </w:r>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D64D5" w:rsidRDefault="00A50018"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drawing>
          <wp:inline distT="0" distB="0" distL="0" distR="0" wp14:anchorId="2D5D2A47" wp14:editId="6A2BADB9">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48710"/>
                    </a:xfrm>
                    <a:prstGeom prst="rect">
                      <a:avLst/>
                    </a:prstGeom>
                  </pic:spPr>
                </pic:pic>
              </a:graphicData>
            </a:graphic>
          </wp:inline>
        </w:drawing>
      </w:r>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770ABC"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5D2C74" w:rsidRPr="008D64D5" w:rsidRDefault="008D1D7C"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401F6D" w:rsidRPr="008D64D5" w:rsidRDefault="00401F6D" w:rsidP="00342E6C">
      <w:pPr>
        <w:shd w:val="clear" w:color="auto" w:fill="FFFFFF"/>
        <w:spacing w:after="0" w:line="360" w:lineRule="auto"/>
        <w:ind w:firstLine="720"/>
        <w:jc w:val="both"/>
        <w:outlineLvl w:val="1"/>
        <w:rPr>
          <w:rFonts w:ascii="Times New Roman" w:hAnsi="Times New Roman" w:cs="Times New Roman"/>
          <w:sz w:val="28"/>
          <w:szCs w:val="28"/>
          <w:lang w:val="uk-UA"/>
        </w:rPr>
      </w:pPr>
    </w:p>
    <w:sectPr w:rsidR="00401F6D" w:rsidRPr="008D64D5">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B95" w:rsidRDefault="00AE1B95" w:rsidP="00F51DC3">
      <w:pPr>
        <w:spacing w:after="0" w:line="240" w:lineRule="auto"/>
      </w:pPr>
      <w:r>
        <w:separator/>
      </w:r>
    </w:p>
  </w:endnote>
  <w:endnote w:type="continuationSeparator" w:id="0">
    <w:p w:rsidR="00AE1B95" w:rsidRDefault="00AE1B95"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770ABC" w:rsidRDefault="00770ABC">
        <w:pPr>
          <w:pStyle w:val="a8"/>
          <w:jc w:val="right"/>
        </w:pPr>
        <w:r>
          <w:fldChar w:fldCharType="begin"/>
        </w:r>
        <w:r>
          <w:instrText>PAGE   \* MERGEFORMAT</w:instrText>
        </w:r>
        <w:r>
          <w:fldChar w:fldCharType="separate"/>
        </w:r>
        <w:r w:rsidRPr="00577CAA">
          <w:rPr>
            <w:noProof/>
            <w:lang w:val="ru-RU"/>
          </w:rPr>
          <w:t>83</w:t>
        </w:r>
        <w:r>
          <w:fldChar w:fldCharType="end"/>
        </w:r>
      </w:p>
    </w:sdtContent>
  </w:sdt>
  <w:p w:rsidR="00770ABC" w:rsidRDefault="00770A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B95" w:rsidRDefault="00AE1B95" w:rsidP="00F51DC3">
      <w:pPr>
        <w:spacing w:after="0" w:line="240" w:lineRule="auto"/>
      </w:pPr>
      <w:r>
        <w:separator/>
      </w:r>
    </w:p>
  </w:footnote>
  <w:footnote w:type="continuationSeparator" w:id="0">
    <w:p w:rsidR="00AE1B95" w:rsidRDefault="00AE1B95"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DE32AE02"/>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38DE"/>
    <w:rsid w:val="000A40DF"/>
    <w:rsid w:val="000A5766"/>
    <w:rsid w:val="000A6060"/>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100F33"/>
    <w:rsid w:val="001019B2"/>
    <w:rsid w:val="00102973"/>
    <w:rsid w:val="00106163"/>
    <w:rsid w:val="0010786A"/>
    <w:rsid w:val="00111244"/>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6770"/>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013A"/>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36C"/>
    <w:rsid w:val="00654FA9"/>
    <w:rsid w:val="0065646E"/>
    <w:rsid w:val="0065650B"/>
    <w:rsid w:val="00656AF6"/>
    <w:rsid w:val="006602F5"/>
    <w:rsid w:val="00663B8E"/>
    <w:rsid w:val="0066464A"/>
    <w:rsid w:val="00665210"/>
    <w:rsid w:val="00665368"/>
    <w:rsid w:val="00666DE1"/>
    <w:rsid w:val="00673922"/>
    <w:rsid w:val="006742A2"/>
    <w:rsid w:val="0067537D"/>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4B48"/>
    <w:rsid w:val="006A4CD4"/>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6EC0"/>
    <w:rsid w:val="007973AB"/>
    <w:rsid w:val="007A1B79"/>
    <w:rsid w:val="007A1E3B"/>
    <w:rsid w:val="007A33EB"/>
    <w:rsid w:val="007A7980"/>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3458"/>
    <w:rsid w:val="00826D1F"/>
    <w:rsid w:val="00831870"/>
    <w:rsid w:val="008331C7"/>
    <w:rsid w:val="008406E8"/>
    <w:rsid w:val="00840986"/>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A6537"/>
    <w:rsid w:val="00AB54A4"/>
    <w:rsid w:val="00AB54F1"/>
    <w:rsid w:val="00AC362E"/>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8018D"/>
    <w:rsid w:val="00C80732"/>
    <w:rsid w:val="00C83C07"/>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583"/>
    <w:rsid w:val="00D2668D"/>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97A68"/>
    <w:rsid w:val="00EA1EFD"/>
    <w:rsid w:val="00EA3673"/>
    <w:rsid w:val="00EA6877"/>
    <w:rsid w:val="00EA6D03"/>
    <w:rsid w:val="00EA71D9"/>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5CFA"/>
    <w:rsid w:val="00F0062C"/>
    <w:rsid w:val="00F02D96"/>
    <w:rsid w:val="00F04563"/>
    <w:rsid w:val="00F06AF0"/>
    <w:rsid w:val="00F07979"/>
    <w:rsid w:val="00F07A0F"/>
    <w:rsid w:val="00F11795"/>
    <w:rsid w:val="00F11A35"/>
    <w:rsid w:val="00F11FB2"/>
    <w:rsid w:val="00F142CF"/>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65F"/>
    <w:rsid w:val="00F7578B"/>
    <w:rsid w:val="00F77087"/>
    <w:rsid w:val="00F77283"/>
    <w:rsid w:val="00F77882"/>
    <w:rsid w:val="00F820A6"/>
    <w:rsid w:val="00F821AB"/>
    <w:rsid w:val="00F83056"/>
    <w:rsid w:val="00F84539"/>
    <w:rsid w:val="00F85DEF"/>
    <w:rsid w:val="00F90EC8"/>
    <w:rsid w:val="00F92C2F"/>
    <w:rsid w:val="00F93784"/>
    <w:rsid w:val="00F9460A"/>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89D8"/>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2.bin"/><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CCFF-4A63-4B31-AD2F-845C9AD7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9764</TotalTime>
  <Pages>79</Pages>
  <Words>13924</Words>
  <Characters>79372</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673</cp:revision>
  <dcterms:created xsi:type="dcterms:W3CDTF">2018-11-10T09:33:00Z</dcterms:created>
  <dcterms:modified xsi:type="dcterms:W3CDTF">2018-12-02T19:12:00Z</dcterms:modified>
</cp:coreProperties>
</file>