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8d94jye7qp7" w:id="0"/>
      <w:bookmarkEnd w:id="0"/>
      <w:r w:rsidDel="00000000" w:rsidR="00000000" w:rsidRPr="00000000">
        <w:rPr>
          <w:rtl w:val="0"/>
        </w:rPr>
        <w:t xml:space="preserve">string-width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visual width of a string - the number of columns required to display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Unicode characters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fullwidth</w:t>
        </w:r>
      </w:hyperlink>
      <w:r w:rsidDel="00000000" w:rsidR="00000000" w:rsidRPr="00000000">
        <w:rPr>
          <w:rtl w:val="0"/>
        </w:rPr>
        <w:t xml:space="preserve"> and use double the normal width.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  <w:t xml:space="preserve"> are stripped and doesn't affect the width.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Useful to be able to measure the actual width of command-line output.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5m6pcd41i0d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string-width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qv684l39gpt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stringWidth = require('string-width');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stringWidth('a');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stringWidth('古');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stringWidth('\u001B[1m古\u001B[22m');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sp1p4ix0z4u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string-width-cli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string-length</w:t>
        </w:r>
      </w:hyperlink>
      <w:r w:rsidDel="00000000" w:rsidR="00000000" w:rsidRPr="00000000">
        <w:rPr>
          <w:rtl w:val="0"/>
        </w:rPr>
        <w:t xml:space="preserve"> - Get the real length of a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widest-line</w:t>
        </w:r>
      </w:hyperlink>
      <w:r w:rsidDel="00000000" w:rsidR="00000000" w:rsidRPr="00000000">
        <w:rPr>
          <w:rtl w:val="0"/>
        </w:rPr>
        <w:t xml:space="preserve"> - Get the visual width of the widest line in a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20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delift.com/subscription/pkg/npm-string-width?utm_source=npm-string-width&amp;utm_medium=referral&amp;utm_campaign=readme" TargetMode="External"/><Relationship Id="rId10" Type="http://schemas.openxmlformats.org/officeDocument/2006/relationships/hyperlink" Target="https://github.com/sindresorhus/widest-line" TargetMode="External"/><Relationship Id="rId9" Type="http://schemas.openxmlformats.org/officeDocument/2006/relationships/hyperlink" Target="https://github.com/sindresorhus/string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lfwidth_and_fullwidth_forms" TargetMode="External"/><Relationship Id="rId7" Type="http://schemas.openxmlformats.org/officeDocument/2006/relationships/hyperlink" Target="https://en.wikipedia.org/wiki/ANSI_escape_code" TargetMode="External"/><Relationship Id="rId8" Type="http://schemas.openxmlformats.org/officeDocument/2006/relationships/hyperlink" Target="https://github.com/sindresorhus/string-width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