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4tkwrivaij" w:id="0"/>
      <w:bookmarkEnd w:id="0"/>
      <w:r w:rsidDel="00000000" w:rsidR="00000000" w:rsidRPr="00000000">
        <w:rPr>
          <w:rtl w:val="0"/>
        </w:rPr>
        <w:t xml:space="preserve">East Asian Width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East Asian Width</w:t>
        </w:r>
      </w:hyperlink>
      <w:r w:rsidDel="00000000" w:rsidR="00000000" w:rsidRPr="00000000">
        <w:rPr>
          <w:rtl w:val="0"/>
        </w:rPr>
        <w:t xml:space="preserve"> from a character.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'F'(Fullwidth), 'H'(Halfwidth), 'W'(Wide), 'Na'(Narrow), 'A'(Ambiguous) or 'N'(Natural).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Original Code is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東アジアの文字幅 (East Asian Width) の判定 - 中途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w9ul4hh56i50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npm install eastasianwidth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enl76xws3nk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eaw = require('eastasianwidth');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console.log(eaw.eastAsianWidth('￦')) // 'F'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console.log(eaw.eastAsianWidth('｡')) // 'H'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console.log(eaw.eastAsianWidth('뀀')) // 'W'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console.log(eaw.eastAsianWidth('a')) // 'Na'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console.log(eaw.eastAsianWidth('①')) // 'A'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eaw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eastAsianWidth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0"/>
        </w:rPr>
        <w:t xml:space="preserve">')) // '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console.log(eaw.characterLength('￦')) // 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console.log(eaw.characterLength('｡')) // 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console.log(eaw.characterLength('뀀')) // 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console.log(eaw.characterLength('a')) // 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console.log(eaw.characterLength('①')) // 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console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eaw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characterLength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0"/>
        </w:rPr>
        <w:t xml:space="preserve">')) //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console.log(eaw.length('あいうえお')) // 10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console.log(eaw.length('abcdefg')) // 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console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eaw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length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('￠￦｡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ￜㄅ뀀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¢⟭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⊙①</w:t>
      </w:r>
      <w:r w:rsidDel="00000000" w:rsidR="00000000" w:rsidRPr="00000000">
        <w:rPr>
          <w:rtl w:val="1"/>
        </w:rPr>
        <w:t xml:space="preserve">بف</w:t>
      </w:r>
      <w:r w:rsidDel="00000000" w:rsidR="00000000" w:rsidRPr="00000000">
        <w:rPr>
          <w:rtl w:val="0"/>
        </w:rPr>
        <w:t xml:space="preserve">')) // 19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unicode.org/reports/tr11/" TargetMode="External"/><Relationship Id="rId7" Type="http://schemas.openxmlformats.org/officeDocument/2006/relationships/hyperlink" Target="http://d.hatena.ne.jp/takenspc/20111126#13222528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