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AI Strategy:</w:t>
        <w:br/>
        <w:t>Automotive Industry SAP OData Integration</w:t>
      </w:r>
    </w:p>
    <w:p>
      <w:pPr>
        <w:jc w:val="center"/>
      </w:pPr>
      <w:r>
        <w:rPr>
          <w:color w:val="4A4A4A"/>
          <w:sz w:val="36"/>
        </w:rPr>
        <w:t>Toyota Motor North America (TMNA) Focus</w:t>
      </w:r>
    </w:p>
    <w:p/>
    <w:p>
      <w:pPr>
        <w:jc w:val="center"/>
      </w:pPr>
      <w:r>
        <w:rPr>
          <w:color w:val="777777"/>
          <w:sz w:val="24"/>
        </w:rPr>
        <w:t>May 2026 | 45+ Referenced Sources</w:t>
      </w:r>
    </w:p>
    <w:p>
      <w:pPr>
        <w:jc w:val="center"/>
      </w:pPr>
      <w:r>
        <w:rPr>
          <w:color w:val="999999"/>
          <w:sz w:val="20"/>
        </w:rPr>
        <w:t>Generated via AI Strategy Researcher | Claude Code</w:t>
      </w:r>
    </w:p>
    <w:p>
      <w:r>
        <w:br w:type="page"/>
      </w:r>
    </w:p>
    <w:p>
      <w:pPr>
        <w:pStyle w:val="Heading1"/>
      </w:pPr>
      <w:r>
        <w:t>Table of Contents</w:t>
      </w:r>
    </w:p>
    <w:p>
      <w:pPr>
        <w:spacing w:after="80"/>
      </w:pPr>
      <w:r>
        <w:t>1. Executive Summary</w:t>
      </w:r>
    </w:p>
    <w:p>
      <w:pPr>
        <w:spacing w:after="80"/>
      </w:pPr>
      <w:r>
        <w:t>2. Market Signal Analysis — The SAP + AI Convergence</w:t>
      </w:r>
    </w:p>
    <w:p>
      <w:pPr>
        <w:spacing w:after="80"/>
      </w:pPr>
      <w:r>
        <w:t>3. Macro Thesis — VC Frameworks Applied</w:t>
      </w:r>
    </w:p>
    <w:p>
      <w:pPr>
        <w:spacing w:after="80"/>
      </w:pPr>
      <w:r>
        <w:t>4. Market Sizing &amp; Vertical Analysis</w:t>
      </w:r>
    </w:p>
    <w:p>
      <w:pPr>
        <w:spacing w:after="80"/>
      </w:pPr>
      <w:r>
        <w:t>5. Toyota TMNA Digital Landscape</w:t>
      </w:r>
    </w:p>
    <w:p>
      <w:pPr>
        <w:spacing w:after="80"/>
      </w:pPr>
      <w:r>
        <w:t>6. SAP OData: The AI Integration Layer</w:t>
      </w:r>
    </w:p>
    <w:p>
      <w:pPr>
        <w:spacing w:after="80"/>
      </w:pPr>
      <w:r>
        <w:t>7. Proof Points — Companies Winning</w:t>
      </w:r>
    </w:p>
    <w:p>
      <w:pPr>
        <w:spacing w:after="80"/>
      </w:pPr>
      <w:r>
        <w:t>8. Operational Playbook — Building AI-Native SAP Integration</w:t>
      </w:r>
    </w:p>
    <w:p>
      <w:pPr>
        <w:spacing w:after="80"/>
      </w:pPr>
      <w:r>
        <w:t>9. Unit Economics — AI vs Traditional Integration</w:t>
      </w:r>
    </w:p>
    <w:p>
      <w:pPr>
        <w:spacing w:after="80"/>
      </w:pPr>
      <w:r>
        <w:t>10. Competitive Moats &amp; Defensibility</w:t>
      </w:r>
    </w:p>
    <w:p>
      <w:pPr>
        <w:spacing w:after="80"/>
      </w:pPr>
      <w:r>
        <w:t>11. Risk Analysis — Mirage PMF &amp; Failure Modes</w:t>
      </w:r>
    </w:p>
    <w:p>
      <w:pPr>
        <w:spacing w:after="80"/>
      </w:pPr>
      <w:r>
        <w:t>12. Strategic Framework — Build vs Buy vs Partner</w:t>
      </w:r>
    </w:p>
    <w:p>
      <w:pPr>
        <w:spacing w:after="80"/>
      </w:pPr>
      <w:r>
        <w:t>13. Competitive Landscape — OEM Comparison</w:t>
      </w:r>
    </w:p>
    <w:p>
      <w:pPr>
        <w:spacing w:after="80"/>
      </w:pPr>
      <w:r>
        <w:t>14. References &amp; Sources</w:t>
      </w:r>
    </w:p>
    <w:p>
      <w:r>
        <w:br w:type="page"/>
      </w:r>
    </w:p>
    <w:p>
      <w:pPr>
        <w:pStyle w:val="Heading1"/>
      </w:pPr>
      <w:r>
        <w:t>1. Executive Summary</w:t>
      </w:r>
    </w:p>
    <w:p>
      <w:r>
        <w:t>The automotive industry stands at the intersection of two massive platform shifts: the transition to AI-native operations and the mandatory migration from SAP ECC to S/4HANA (mainstream ECC support ends 2027). This convergence creates a once-in-a-generation opportunity to reimagine how automakers like Toyota Motor North America (TMNA) integrate, automate, and optimize their enterprise operations through SAP OData connectors and AI agents.</w:t>
      </w:r>
    </w:p>
    <w:p>
      <w:pPr>
        <w:pStyle w:val="Heading2"/>
      </w:pPr>
      <w:r>
        <w:t>Five Key Findings</w:t>
      </w:r>
    </w:p>
    <w:p>
      <w:pPr>
        <w:pStyle w:val="ListBullet"/>
      </w:pPr>
      <w:r>
        <w:rPr>
          <w:b/>
        </w:rPr>
        <w:t>$7–19B automotive AI market by 2026,</w:t>
      </w:r>
      <w:r>
        <w:t xml:space="preserve"> growing at 15–37% CAGR depending on scope. SAP integration is the critical enabler — every automaker runs SAP, and OData is now the default API layer for S/4HANA.</w:t>
      </w:r>
    </w:p>
    <w:p>
      <w:pPr>
        <w:pStyle w:val="ListBullet"/>
      </w:pPr>
      <w:r>
        <w:rPr>
          <w:b/>
        </w:rPr>
        <w:t>SAP OData-to-MCP bridges now expose 15,000+ enterprise services to AI agents,</w:t>
      </w:r>
      <w:r>
        <w:t xml:space="preserve"> enabling conversational access to procurement, production planning, quality management, and logistics without custom ABAP development.</w:t>
      </w:r>
    </w:p>
    <w:p>
      <w:pPr>
        <w:pStyle w:val="ListBullet"/>
      </w:pPr>
      <w:r>
        <w:rPr>
          <w:b/>
        </w:rPr>
        <w:t>Toyota's GAIA (Global AI Accelerator) initiative,</w:t>
      </w:r>
      <w:r>
        <w:t xml:space="preserve"> launched 2025, targets 10,000 hours of annual savings through AI-powered kaizen. TMNA appointed a dedicated head of AI (Brian Kursar) reporting to the CIO, signaling enterprise-wide commitment.</w:t>
      </w:r>
    </w:p>
    <w:p>
      <w:pPr>
        <w:pStyle w:val="ListBullet"/>
      </w:pPr>
      <w:r>
        <w:rPr>
          <w:b/>
        </w:rPr>
        <w:t>Volkswagen committed €1B to AI by 2030;</w:t>
      </w:r>
      <w:r>
        <w:t xml:space="preserve"> BMW modernized its iFactory with SAP S/4HANA; Hyundai chose RISE with SAP. The competitive pressure on TMNA to accelerate SAP+AI integration is intensifying.</w:t>
      </w:r>
    </w:p>
    <w:p>
      <w:pPr>
        <w:pStyle w:val="ListBullet"/>
      </w:pPr>
      <w:r>
        <w:rPr>
          <w:b/>
        </w:rPr>
        <w:t>SAP Joule now offers 40+ autonomous agents with 2,400+ skills,</w:t>
      </w:r>
      <w:r>
        <w:t xml:space="preserve"> including production planning agents that autonomously validate and release production orders — moving from Copilot to Autopilot in real manufacturing workflows.</w:t>
      </w:r>
    </w:p>
    <w:p>
      <w:r>
        <w:br w:type="page"/>
      </w:r>
    </w:p>
    <w:p>
      <w:pPr>
        <w:pStyle w:val="Heading1"/>
      </w:pPr>
      <w:r>
        <w:t>2. Market Signal Analysis — The SAP + AI Convergence</w:t>
      </w:r>
    </w:p>
    <w:p>
      <w:pPr>
        <w:pStyle w:val="Heading2"/>
      </w:pPr>
      <w:r>
        <w:t>What Just Happened</w:t>
      </w:r>
    </w:p>
    <w:p>
      <w:r>
        <w:t>Three converging forces are reshaping automotive enterprise technology:</w:t>
      </w:r>
    </w:p>
    <w:p>
      <w:pPr>
        <w:pStyle w:val="ListBullet"/>
      </w:pPr>
      <w:r>
        <w:rPr>
          <w:b/>
        </w:rPr>
        <w:t>ECC Sunset:</w:t>
      </w:r>
      <w:r>
        <w:t xml:space="preserve"> SAP ECC end-of-mainstream-support (2027) is forcing every automaker into S/4HANA migration — a $50B+ global migration wave that opens the door for AI-native architectures.</w:t>
      </w:r>
    </w:p>
    <w:p>
      <w:pPr>
        <w:pStyle w:val="ListBullet"/>
      </w:pPr>
      <w:r>
        <w:rPr>
          <w:b/>
        </w:rPr>
        <w:t>Joule Studio GA:</w:t>
      </w:r>
      <w:r>
        <w:t xml:space="preserve"> SAP launched Joule Studio (GA Q1 2026) enabling enterprises to build custom AI agents that orchestrate multi-step workflows across SAP and non-SAP systems, with native OData integration.</w:t>
      </w:r>
    </w:p>
    <w:p>
      <w:pPr>
        <w:pStyle w:val="ListBullet"/>
      </w:pPr>
      <w:r>
        <w:rPr>
          <w:b/>
        </w:rPr>
        <w:t>OData-MCP Bridge:</w:t>
      </w:r>
      <w:r>
        <w:t xml:space="preserve"> The OData-to-MCP bridge pattern emerged in early 2025, instantly making 15,000+ SAP OData services available as AI agent tools — what one developer called "accidentally making 15,000 enterprise services talk to AI."</w:t>
      </w:r>
    </w:p>
    <w:p>
      <w:pPr>
        <w:pStyle w:val="Heading2"/>
      </w:pPr>
      <w:r>
        <w:t>Why It Matters for Automotive</w:t>
      </w:r>
    </w:p>
    <w:p>
      <w:r>
        <w:t>Automakers have the most complex SAP landscapes in any industry: production planning (PP), materials management (MM), quality management (QM), plant maintenance (PM), sales &amp; distribution (SD), and warehouse management (WM) — all interconnected. OData APIs expose each of these modules as standardized REST endpoints, creating a uniform surface for AI agents to read, write, and orchestrate across the entire manufacturing value chain.</w:t>
      </w:r>
    </w:p>
    <w:p>
      <w:pPr>
        <w:ind w:left="850"/>
      </w:pPr>
      <w:r>
        <w:rPr>
          <w:i/>
          <w:color w:val="555555"/>
        </w:rPr>
        <w:t>"For every dollar enterprises spend on software, they spend six on services. — Sequoia Capital, "Services: The New Software" (April 2026)"</w:t>
      </w:r>
    </w:p>
    <w:p>
      <w:r>
        <w:br w:type="page"/>
      </w:r>
    </w:p>
    <w:p>
      <w:pPr>
        <w:pStyle w:val="Heading1"/>
      </w:pPr>
      <w:r>
        <w:t>3. Macro Thesis — VC Frameworks Applied</w:t>
      </w:r>
    </w:p>
    <w:p>
      <w:pPr>
        <w:pStyle w:val="Heading2"/>
      </w:pPr>
      <w:r>
        <w:t>Sequoia: Copilot vs. Autopilot Framework</w:t>
      </w:r>
    </w:p>
    <w:p>
      <w:r>
        <w:t>Applied to automotive SAP operations, the progression from Copilot to Autopilot is clear:</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Stage</w:t>
            </w:r>
          </w:p>
        </w:tc>
        <w:tc>
          <w:tcPr>
            <w:tcW w:type="dxa" w:w="2160"/>
            <w:shd w:val="clear" w:color="auto" w:fill="1B3A5C"/>
          </w:tcPr>
          <w:p>
            <w:r>
              <w:rPr>
                <w:b/>
                <w:color w:val="FFFFFF"/>
                <w:sz w:val="20"/>
              </w:rPr>
              <w:t>SAP Function</w:t>
            </w:r>
          </w:p>
        </w:tc>
        <w:tc>
          <w:tcPr>
            <w:tcW w:type="dxa" w:w="2160"/>
            <w:shd w:val="clear" w:color="auto" w:fill="1B3A5C"/>
          </w:tcPr>
          <w:p>
            <w:r>
              <w:rPr>
                <w:b/>
                <w:color w:val="FFFFFF"/>
                <w:sz w:val="20"/>
              </w:rPr>
              <w:t>AI Role</w:t>
            </w:r>
          </w:p>
        </w:tc>
        <w:tc>
          <w:tcPr>
            <w:tcW w:type="dxa" w:w="2160"/>
            <w:shd w:val="clear" w:color="auto" w:fill="1B3A5C"/>
          </w:tcPr>
          <w:p>
            <w:r>
              <w:rPr>
                <w:b/>
                <w:color w:val="FFFFFF"/>
                <w:sz w:val="20"/>
              </w:rPr>
              <w:t>Example</w:t>
            </w:r>
          </w:p>
        </w:tc>
      </w:tr>
      <w:tr>
        <w:tc>
          <w:tcPr>
            <w:tcW w:type="dxa" w:w="2160"/>
          </w:tcPr>
          <w:p>
            <w:r>
              <w:rPr>
                <w:sz w:val="20"/>
              </w:rPr>
              <w:t>Copilot (Now)</w:t>
            </w:r>
          </w:p>
        </w:tc>
        <w:tc>
          <w:tcPr>
            <w:tcW w:type="dxa" w:w="2160"/>
          </w:tcPr>
          <w:p>
            <w:r>
              <w:rPr>
                <w:sz w:val="20"/>
              </w:rPr>
              <w:t>Procurement (MM)</w:t>
            </w:r>
          </w:p>
        </w:tc>
        <w:tc>
          <w:tcPr>
            <w:tcW w:type="dxa" w:w="2160"/>
          </w:tcPr>
          <w:p>
            <w:r>
              <w:rPr>
                <w:sz w:val="20"/>
              </w:rPr>
              <w:t>Suggests optimal vendors, flags anomalies</w:t>
            </w:r>
          </w:p>
        </w:tc>
        <w:tc>
          <w:tcPr>
            <w:tcW w:type="dxa" w:w="2160"/>
          </w:tcPr>
          <w:p>
            <w:r>
              <w:rPr>
                <w:sz w:val="20"/>
              </w:rPr>
              <w:t>AI reviews PO history via OData, recommends consolidation</w:t>
            </w:r>
          </w:p>
        </w:tc>
      </w:tr>
      <w:tr>
        <w:tc>
          <w:tcPr>
            <w:tcW w:type="dxa" w:w="2160"/>
          </w:tcPr>
          <w:p>
            <w:r>
              <w:rPr>
                <w:sz w:val="20"/>
              </w:rPr>
              <w:t>Copilot+ (2025-26)</w:t>
            </w:r>
          </w:p>
        </w:tc>
        <w:tc>
          <w:tcPr>
            <w:tcW w:type="dxa" w:w="2160"/>
          </w:tcPr>
          <w:p>
            <w:r>
              <w:rPr>
                <w:sz w:val="20"/>
              </w:rPr>
              <w:t>Production Planning (PP)</w:t>
            </w:r>
          </w:p>
        </w:tc>
        <w:tc>
          <w:tcPr>
            <w:tcW w:type="dxa" w:w="2160"/>
          </w:tcPr>
          <w:p>
            <w:r>
              <w:rPr>
                <w:sz w:val="20"/>
              </w:rPr>
              <w:t>Drafts production orders, human approves</w:t>
            </w:r>
          </w:p>
        </w:tc>
        <w:tc>
          <w:tcPr>
            <w:tcW w:type="dxa" w:w="2160"/>
          </w:tcPr>
          <w:p>
            <w:r>
              <w:rPr>
                <w:sz w:val="20"/>
              </w:rPr>
              <w:t>Joule Production Agent validates material/capacity availability</w:t>
            </w:r>
          </w:p>
        </w:tc>
      </w:tr>
      <w:tr>
        <w:tc>
          <w:tcPr>
            <w:tcW w:type="dxa" w:w="2160"/>
          </w:tcPr>
          <w:p>
            <w:r>
              <w:rPr>
                <w:sz w:val="20"/>
              </w:rPr>
              <w:t>Autopilot (2027+)</w:t>
            </w:r>
          </w:p>
        </w:tc>
        <w:tc>
          <w:tcPr>
            <w:tcW w:type="dxa" w:w="2160"/>
          </w:tcPr>
          <w:p>
            <w:r>
              <w:rPr>
                <w:sz w:val="20"/>
              </w:rPr>
              <w:t>Quality Management (QM)</w:t>
            </w:r>
          </w:p>
        </w:tc>
        <w:tc>
          <w:tcPr>
            <w:tcW w:type="dxa" w:w="2160"/>
          </w:tcPr>
          <w:p>
            <w:r>
              <w:rPr>
                <w:sz w:val="20"/>
              </w:rPr>
              <w:t>Autonomous inspection &amp; non-conformance</w:t>
            </w:r>
          </w:p>
        </w:tc>
        <w:tc>
          <w:tcPr>
            <w:tcW w:type="dxa" w:w="2160"/>
          </w:tcPr>
          <w:p>
            <w:r>
              <w:rPr>
                <w:sz w:val="20"/>
              </w:rPr>
              <w:t>AI agent triggers quality notifications via OData when thresholds exceeded</w:t>
            </w:r>
          </w:p>
        </w:tc>
      </w:tr>
      <w:tr>
        <w:tc>
          <w:tcPr>
            <w:tcW w:type="dxa" w:w="2160"/>
          </w:tcPr>
          <w:p>
            <w:r>
              <w:rPr>
                <w:sz w:val="20"/>
              </w:rPr>
              <w:t>Full Autopilot</w:t>
            </w:r>
          </w:p>
        </w:tc>
        <w:tc>
          <w:tcPr>
            <w:tcW w:type="dxa" w:w="2160"/>
          </w:tcPr>
          <w:p>
            <w:r>
              <w:rPr>
                <w:sz w:val="20"/>
              </w:rPr>
              <w:t>Supply Chain (SCM)</w:t>
            </w:r>
          </w:p>
        </w:tc>
        <w:tc>
          <w:tcPr>
            <w:tcW w:type="dxa" w:w="2160"/>
          </w:tcPr>
          <w:p>
            <w:r>
              <w:rPr>
                <w:sz w:val="20"/>
              </w:rPr>
              <w:t>End-to-end autonomous orchestration</w:t>
            </w:r>
          </w:p>
        </w:tc>
        <w:tc>
          <w:tcPr>
            <w:tcW w:type="dxa" w:w="2160"/>
          </w:tcPr>
          <w:p>
            <w:r>
              <w:rPr>
                <w:sz w:val="20"/>
              </w:rPr>
              <w:t>Multi-agent system manages JIT delivery across tier-1 suppliers</w:t>
            </w:r>
          </w:p>
        </w:tc>
      </w:tr>
    </w:tbl>
    <w:p/>
    <w:p>
      <w:pPr>
        <w:pStyle w:val="Heading2"/>
      </w:pPr>
      <w:r>
        <w:t>Emergence Capital: Intelligence vs. Judgement Framework</w:t>
      </w:r>
    </w:p>
    <w:p>
      <w:r>
        <w:t>Automotive SAP operations have a high Intelligence Ratio — the majority of work is pattern recognition (matching POs to invoices, checking material availability, scheduling production runs against capacity). The Judgement component (safety-critical decisions, supplier relationship management, design trade-offs) remains human-led. This makes automotive SAP integration a prime candidate for AI-native services.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SAP Module</w:t>
            </w:r>
          </w:p>
        </w:tc>
        <w:tc>
          <w:tcPr>
            <w:tcW w:type="dxa" w:w="2160"/>
            <w:shd w:val="clear" w:color="auto" w:fill="1B3A5C"/>
          </w:tcPr>
          <w:p>
            <w:r>
              <w:rPr>
                <w:b/>
                <w:color w:val="FFFFFF"/>
                <w:sz w:val="20"/>
              </w:rPr>
              <w:t>Intelligence %</w:t>
            </w:r>
          </w:p>
        </w:tc>
        <w:tc>
          <w:tcPr>
            <w:tcW w:type="dxa" w:w="2160"/>
            <w:shd w:val="clear" w:color="auto" w:fill="1B3A5C"/>
          </w:tcPr>
          <w:p>
            <w:r>
              <w:rPr>
                <w:b/>
                <w:color w:val="FFFFFF"/>
                <w:sz w:val="20"/>
              </w:rPr>
              <w:t>Judgement %</w:t>
            </w:r>
          </w:p>
        </w:tc>
        <w:tc>
          <w:tcPr>
            <w:tcW w:type="dxa" w:w="2160"/>
            <w:shd w:val="clear" w:color="auto" w:fill="1B3A5C"/>
          </w:tcPr>
          <w:p>
            <w:r>
              <w:rPr>
                <w:b/>
                <w:color w:val="FFFFFF"/>
                <w:sz w:val="20"/>
              </w:rPr>
              <w:t>AI Readiness</w:t>
            </w:r>
          </w:p>
        </w:tc>
      </w:tr>
      <w:tr>
        <w:tc>
          <w:tcPr>
            <w:tcW w:type="dxa" w:w="2160"/>
          </w:tcPr>
          <w:p>
            <w:r>
              <w:rPr>
                <w:sz w:val="20"/>
              </w:rPr>
              <w:t>Materials Management (MM)</w:t>
            </w:r>
          </w:p>
        </w:tc>
        <w:tc>
          <w:tcPr>
            <w:tcW w:type="dxa" w:w="2160"/>
          </w:tcPr>
          <w:p>
            <w:r>
              <w:rPr>
                <w:sz w:val="20"/>
              </w:rPr>
              <w:t>80%</w:t>
            </w:r>
          </w:p>
        </w:tc>
        <w:tc>
          <w:tcPr>
            <w:tcW w:type="dxa" w:w="2160"/>
          </w:tcPr>
          <w:p>
            <w:r>
              <w:rPr>
                <w:sz w:val="20"/>
              </w:rPr>
              <w:t>20%</w:t>
            </w:r>
          </w:p>
        </w:tc>
        <w:tc>
          <w:tcPr>
            <w:tcW w:type="dxa" w:w="2160"/>
          </w:tcPr>
          <w:p>
            <w:r>
              <w:rPr>
                <w:sz w:val="20"/>
              </w:rPr>
              <w:t>Very High</w:t>
            </w:r>
          </w:p>
        </w:tc>
      </w:tr>
      <w:tr>
        <w:tc>
          <w:tcPr>
            <w:tcW w:type="dxa" w:w="2160"/>
          </w:tcPr>
          <w:p>
            <w:r>
              <w:rPr>
                <w:sz w:val="20"/>
              </w:rPr>
              <w:t>Production Planning (PP)</w:t>
            </w:r>
          </w:p>
        </w:tc>
        <w:tc>
          <w:tcPr>
            <w:tcW w:type="dxa" w:w="2160"/>
          </w:tcPr>
          <w:p>
            <w:r>
              <w:rPr>
                <w:sz w:val="20"/>
              </w:rPr>
              <w:t>70%</w:t>
            </w:r>
          </w:p>
        </w:tc>
        <w:tc>
          <w:tcPr>
            <w:tcW w:type="dxa" w:w="2160"/>
          </w:tcPr>
          <w:p>
            <w:r>
              <w:rPr>
                <w:sz w:val="20"/>
              </w:rPr>
              <w:t>30%</w:t>
            </w:r>
          </w:p>
        </w:tc>
        <w:tc>
          <w:tcPr>
            <w:tcW w:type="dxa" w:w="2160"/>
          </w:tcPr>
          <w:p>
            <w:r>
              <w:rPr>
                <w:sz w:val="20"/>
              </w:rPr>
              <w:t>High</w:t>
            </w:r>
          </w:p>
        </w:tc>
      </w:tr>
      <w:tr>
        <w:tc>
          <w:tcPr>
            <w:tcW w:type="dxa" w:w="2160"/>
          </w:tcPr>
          <w:p>
            <w:r>
              <w:rPr>
                <w:sz w:val="20"/>
              </w:rPr>
              <w:t>Quality Management (QM)</w:t>
            </w:r>
          </w:p>
        </w:tc>
        <w:tc>
          <w:tcPr>
            <w:tcW w:type="dxa" w:w="2160"/>
          </w:tcPr>
          <w:p>
            <w:r>
              <w:rPr>
                <w:sz w:val="20"/>
              </w:rPr>
              <w:t>60%</w:t>
            </w:r>
          </w:p>
        </w:tc>
        <w:tc>
          <w:tcPr>
            <w:tcW w:type="dxa" w:w="2160"/>
          </w:tcPr>
          <w:p>
            <w:r>
              <w:rPr>
                <w:sz w:val="20"/>
              </w:rPr>
              <w:t>40%</w:t>
            </w:r>
          </w:p>
        </w:tc>
        <w:tc>
          <w:tcPr>
            <w:tcW w:type="dxa" w:w="2160"/>
          </w:tcPr>
          <w:p>
            <w:r>
              <w:rPr>
                <w:sz w:val="20"/>
              </w:rPr>
              <w:t>High</w:t>
            </w:r>
          </w:p>
        </w:tc>
      </w:tr>
      <w:tr>
        <w:tc>
          <w:tcPr>
            <w:tcW w:type="dxa" w:w="2160"/>
          </w:tcPr>
          <w:p>
            <w:r>
              <w:rPr>
                <w:sz w:val="20"/>
              </w:rPr>
              <w:t>Plant Maintenance (PM)</w:t>
            </w:r>
          </w:p>
        </w:tc>
        <w:tc>
          <w:tcPr>
            <w:tcW w:type="dxa" w:w="2160"/>
          </w:tcPr>
          <w:p>
            <w:r>
              <w:rPr>
                <w:sz w:val="20"/>
              </w:rPr>
              <w:t>75%</w:t>
            </w:r>
          </w:p>
        </w:tc>
        <w:tc>
          <w:tcPr>
            <w:tcW w:type="dxa" w:w="2160"/>
          </w:tcPr>
          <w:p>
            <w:r>
              <w:rPr>
                <w:sz w:val="20"/>
              </w:rPr>
              <w:t>25%</w:t>
            </w:r>
          </w:p>
        </w:tc>
        <w:tc>
          <w:tcPr>
            <w:tcW w:type="dxa" w:w="2160"/>
          </w:tcPr>
          <w:p>
            <w:r>
              <w:rPr>
                <w:sz w:val="20"/>
              </w:rPr>
              <w:t>Very High</w:t>
            </w:r>
          </w:p>
        </w:tc>
      </w:tr>
      <w:tr>
        <w:tc>
          <w:tcPr>
            <w:tcW w:type="dxa" w:w="2160"/>
          </w:tcPr>
          <w:p>
            <w:r>
              <w:rPr>
                <w:sz w:val="20"/>
              </w:rPr>
              <w:t>Sales &amp; Distribution (SD)</w:t>
            </w:r>
          </w:p>
        </w:tc>
        <w:tc>
          <w:tcPr>
            <w:tcW w:type="dxa" w:w="2160"/>
          </w:tcPr>
          <w:p>
            <w:r>
              <w:rPr>
                <w:sz w:val="20"/>
              </w:rPr>
              <w:t>65%</w:t>
            </w:r>
          </w:p>
        </w:tc>
        <w:tc>
          <w:tcPr>
            <w:tcW w:type="dxa" w:w="2160"/>
          </w:tcPr>
          <w:p>
            <w:r>
              <w:rPr>
                <w:sz w:val="20"/>
              </w:rPr>
              <w:t>35%</w:t>
            </w:r>
          </w:p>
        </w:tc>
        <w:tc>
          <w:tcPr>
            <w:tcW w:type="dxa" w:w="2160"/>
          </w:tcPr>
          <w:p>
            <w:r>
              <w:rPr>
                <w:sz w:val="20"/>
              </w:rPr>
              <w:t>High</w:t>
            </w:r>
          </w:p>
        </w:tc>
      </w:tr>
      <w:tr>
        <w:tc>
          <w:tcPr>
            <w:tcW w:type="dxa" w:w="2160"/>
          </w:tcPr>
          <w:p>
            <w:r>
              <w:rPr>
                <w:sz w:val="20"/>
              </w:rPr>
              <w:t>Financial Accounting (FI)</w:t>
            </w:r>
          </w:p>
        </w:tc>
        <w:tc>
          <w:tcPr>
            <w:tcW w:type="dxa" w:w="2160"/>
          </w:tcPr>
          <w:p>
            <w:r>
              <w:rPr>
                <w:sz w:val="20"/>
              </w:rPr>
              <w:t>85%</w:t>
            </w:r>
          </w:p>
        </w:tc>
        <w:tc>
          <w:tcPr>
            <w:tcW w:type="dxa" w:w="2160"/>
          </w:tcPr>
          <w:p>
            <w:r>
              <w:rPr>
                <w:sz w:val="20"/>
              </w:rPr>
              <w:t>15%</w:t>
            </w:r>
          </w:p>
        </w:tc>
        <w:tc>
          <w:tcPr>
            <w:tcW w:type="dxa" w:w="2160"/>
          </w:tcPr>
          <w:p>
            <w:r>
              <w:rPr>
                <w:sz w:val="20"/>
              </w:rPr>
              <w:t>Very High</w:t>
            </w:r>
          </w:p>
        </w:tc>
      </w:tr>
    </w:tbl>
    <w:p/>
    <w:p>
      <w:pPr>
        <w:pStyle w:val="Heading2"/>
      </w:pPr>
      <w:r>
        <w:t>Mirage PMF Risk</w:t>
      </w:r>
    </w:p>
    <w:p>
      <w:r>
        <w:t>The primary Mirage PMF risk in automotive AI+SAP is confusing demo-ready OData queries with production-grade integration. Reading data from SAP via OData is straightforward; writing back (creating production orders, posting goods receipts, triggering quality notifications) requires deep understanding of SAP business logic, authorization checks, and transactional consistency. Companies that demo "AI reads SAP data" and claim product-market fit will fail when customers demand write-back capabilities with IATF 16949 compliance.</w:t>
      </w:r>
    </w:p>
    <w:p>
      <w:r>
        <w:br w:type="page"/>
      </w:r>
    </w:p>
    <w:p>
      <w:pPr>
        <w:pStyle w:val="Heading1"/>
      </w:pPr>
      <w:r>
        <w:t>4. Market Sizing &amp; Vertical Analysis</w:t>
      </w:r>
    </w:p>
    <w:p>
      <w:pPr>
        <w:pStyle w:val="Heading2"/>
      </w:pPr>
      <w:r>
        <w:t>Automotive AI Total Addressable Market</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Source</w:t>
            </w:r>
          </w:p>
        </w:tc>
        <w:tc>
          <w:tcPr>
            <w:tcW w:type="dxa" w:w="2160"/>
            <w:shd w:val="clear" w:color="auto" w:fill="1B3A5C"/>
          </w:tcPr>
          <w:p>
            <w:r>
              <w:rPr>
                <w:b/>
                <w:color w:val="FFFFFF"/>
                <w:sz w:val="20"/>
              </w:rPr>
              <w:t>2025 Estimate</w:t>
            </w:r>
          </w:p>
        </w:tc>
        <w:tc>
          <w:tcPr>
            <w:tcW w:type="dxa" w:w="2160"/>
            <w:shd w:val="clear" w:color="auto" w:fill="1B3A5C"/>
          </w:tcPr>
          <w:p>
            <w:r>
              <w:rPr>
                <w:b/>
                <w:color w:val="FFFFFF"/>
                <w:sz w:val="20"/>
              </w:rPr>
              <w:t>2030 Estimate</w:t>
            </w:r>
          </w:p>
        </w:tc>
        <w:tc>
          <w:tcPr>
            <w:tcW w:type="dxa" w:w="2160"/>
            <w:shd w:val="clear" w:color="auto" w:fill="1B3A5C"/>
          </w:tcPr>
          <w:p>
            <w:r>
              <w:rPr>
                <w:b/>
                <w:color w:val="FFFFFF"/>
                <w:sz w:val="20"/>
              </w:rPr>
              <w:t>CAGR</w:t>
            </w:r>
          </w:p>
        </w:tc>
      </w:tr>
      <w:tr>
        <w:tc>
          <w:tcPr>
            <w:tcW w:type="dxa" w:w="2160"/>
          </w:tcPr>
          <w:p>
            <w:r>
              <w:rPr>
                <w:sz w:val="20"/>
              </w:rPr>
              <w:t>Markets and Markets</w:t>
            </w:r>
          </w:p>
        </w:tc>
        <w:tc>
          <w:tcPr>
            <w:tcW w:type="dxa" w:w="2160"/>
          </w:tcPr>
          <w:p>
            <w:r>
              <w:rPr>
                <w:sz w:val="20"/>
              </w:rPr>
              <w:t>$18.8B</w:t>
            </w:r>
          </w:p>
        </w:tc>
        <w:tc>
          <w:tcPr>
            <w:tcW w:type="dxa" w:w="2160"/>
          </w:tcPr>
          <w:p>
            <w:r>
              <w:rPr>
                <w:sz w:val="20"/>
              </w:rPr>
              <w:t>$38.5B</w:t>
            </w:r>
          </w:p>
        </w:tc>
        <w:tc>
          <w:tcPr>
            <w:tcW w:type="dxa" w:w="2160"/>
          </w:tcPr>
          <w:p>
            <w:r>
              <w:rPr>
                <w:sz w:val="20"/>
              </w:rPr>
              <w:t>15.3%</w:t>
            </w:r>
          </w:p>
        </w:tc>
      </w:tr>
      <w:tr>
        <w:tc>
          <w:tcPr>
            <w:tcW w:type="dxa" w:w="2160"/>
          </w:tcPr>
          <w:p>
            <w:r>
              <w:rPr>
                <w:sz w:val="20"/>
              </w:rPr>
              <w:t>Fortune Business Insights</w:t>
            </w:r>
          </w:p>
        </w:tc>
        <w:tc>
          <w:tcPr>
            <w:tcW w:type="dxa" w:w="2160"/>
          </w:tcPr>
          <w:p>
            <w:r>
              <w:rPr>
                <w:sz w:val="20"/>
              </w:rPr>
              <w:t>$12.8B</w:t>
            </w:r>
          </w:p>
        </w:tc>
        <w:tc>
          <w:tcPr>
            <w:tcW w:type="dxa" w:w="2160"/>
          </w:tcPr>
          <w:p>
            <w:r>
              <w:rPr>
                <w:sz w:val="20"/>
              </w:rPr>
              <w:t>$35B+</w:t>
            </w:r>
          </w:p>
        </w:tc>
        <w:tc>
          <w:tcPr>
            <w:tcW w:type="dxa" w:w="2160"/>
          </w:tcPr>
          <w:p>
            <w:r>
              <w:rPr>
                <w:sz w:val="20"/>
              </w:rPr>
              <w:t>16.7%</w:t>
            </w:r>
          </w:p>
        </w:tc>
      </w:tr>
      <w:tr>
        <w:tc>
          <w:tcPr>
            <w:tcW w:type="dxa" w:w="2160"/>
          </w:tcPr>
          <w:p>
            <w:r>
              <w:rPr>
                <w:sz w:val="20"/>
              </w:rPr>
              <w:t>Grand View Research</w:t>
            </w:r>
          </w:p>
        </w:tc>
        <w:tc>
          <w:tcPr>
            <w:tcW w:type="dxa" w:w="2160"/>
          </w:tcPr>
          <w:p>
            <w:r>
              <w:rPr>
                <w:sz w:val="20"/>
              </w:rPr>
              <w:t>$5.2B</w:t>
            </w:r>
          </w:p>
        </w:tc>
        <w:tc>
          <w:tcPr>
            <w:tcW w:type="dxa" w:w="2160"/>
          </w:tcPr>
          <w:p>
            <w:r>
              <w:rPr>
                <w:sz w:val="20"/>
              </w:rPr>
              <w:t>$25B+</w:t>
            </w:r>
          </w:p>
        </w:tc>
        <w:tc>
          <w:tcPr>
            <w:tcW w:type="dxa" w:w="2160"/>
          </w:tcPr>
          <w:p>
            <w:r>
              <w:rPr>
                <w:sz w:val="20"/>
              </w:rPr>
              <w:t>29.6%</w:t>
            </w:r>
          </w:p>
        </w:tc>
      </w:tr>
      <w:tr>
        <w:tc>
          <w:tcPr>
            <w:tcW w:type="dxa" w:w="2160"/>
          </w:tcPr>
          <w:p>
            <w:r>
              <w:rPr>
                <w:sz w:val="20"/>
              </w:rPr>
              <w:t>Precedence Research</w:t>
            </w:r>
          </w:p>
        </w:tc>
        <w:tc>
          <w:tcPr>
            <w:tcW w:type="dxa" w:w="2160"/>
          </w:tcPr>
          <w:p>
            <w:r>
              <w:rPr>
                <w:sz w:val="20"/>
              </w:rPr>
              <w:t>$4.7B</w:t>
            </w:r>
          </w:p>
        </w:tc>
        <w:tc>
          <w:tcPr>
            <w:tcW w:type="dxa" w:w="2160"/>
          </w:tcPr>
          <w:p>
            <w:r>
              <w:rPr>
                <w:sz w:val="20"/>
              </w:rPr>
              <w:t>$48.6B (2034)</w:t>
            </w:r>
          </w:p>
        </w:tc>
        <w:tc>
          <w:tcPr>
            <w:tcW w:type="dxa" w:w="2160"/>
          </w:tcPr>
          <w:p>
            <w:r>
              <w:rPr>
                <w:sz w:val="20"/>
              </w:rPr>
              <w:t>29.6%</w:t>
            </w:r>
          </w:p>
        </w:tc>
      </w:tr>
      <w:tr>
        <w:tc>
          <w:tcPr>
            <w:tcW w:type="dxa" w:w="2160"/>
          </w:tcPr>
          <w:p>
            <w:r>
              <w:rPr>
                <w:sz w:val="20"/>
              </w:rPr>
              <w:t>Market.us</w:t>
            </w:r>
          </w:p>
        </w:tc>
        <w:tc>
          <w:tcPr>
            <w:tcW w:type="dxa" w:w="2160"/>
          </w:tcPr>
          <w:p>
            <w:r>
              <w:rPr>
                <w:sz w:val="20"/>
              </w:rPr>
              <w:t>$5.5B</w:t>
            </w:r>
          </w:p>
        </w:tc>
        <w:tc>
          <w:tcPr>
            <w:tcW w:type="dxa" w:w="2160"/>
          </w:tcPr>
          <w:p>
            <w:r>
              <w:rPr>
                <w:sz w:val="20"/>
              </w:rPr>
              <w:t>$50B+ (2034)</w:t>
            </w:r>
          </w:p>
        </w:tc>
        <w:tc>
          <w:tcPr>
            <w:tcW w:type="dxa" w:w="2160"/>
          </w:tcPr>
          <w:p>
            <w:r>
              <w:rPr>
                <w:sz w:val="20"/>
              </w:rPr>
              <w:t>37.4%</w:t>
            </w:r>
          </w:p>
        </w:tc>
      </w:tr>
    </w:tbl>
    <w:p/>
    <w:p>
      <w:pPr>
        <w:pStyle w:val="Heading2"/>
      </w:pPr>
      <w:r>
        <w:t>SAP Integration Addressable Market</w:t>
      </w:r>
    </w:p>
    <w:p>
      <w:r>
        <w:t>SAP Integration Suite delivered 345% ROI according to SAP-commissioned studies. The SAP ecosystem integration market is estimated at $15-20B globally, with automotive representing approximately 12-15% of SAP enterprise licenses. The OData-specific AI integration opportunity — where AI agents replace custom ABAP, middleware, and manual processes — is estimated at $2-4B for automotive alone.</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Segment</w:t>
            </w:r>
          </w:p>
        </w:tc>
        <w:tc>
          <w:tcPr>
            <w:tcW w:type="dxa" w:w="2160"/>
            <w:shd w:val="clear" w:color="auto" w:fill="1B3A5C"/>
          </w:tcPr>
          <w:p>
            <w:r>
              <w:rPr>
                <w:b/>
                <w:color w:val="FFFFFF"/>
                <w:sz w:val="20"/>
              </w:rPr>
              <w:t>Current Spend</w:t>
            </w:r>
          </w:p>
        </w:tc>
        <w:tc>
          <w:tcPr>
            <w:tcW w:type="dxa" w:w="2160"/>
            <w:shd w:val="clear" w:color="auto" w:fill="1B3A5C"/>
          </w:tcPr>
          <w:p>
            <w:r>
              <w:rPr>
                <w:b/>
                <w:color w:val="FFFFFF"/>
                <w:sz w:val="20"/>
              </w:rPr>
              <w:t>AI-Addressable</w:t>
            </w:r>
          </w:p>
        </w:tc>
        <w:tc>
          <w:tcPr>
            <w:tcW w:type="dxa" w:w="2160"/>
            <w:shd w:val="clear" w:color="auto" w:fill="1B3A5C"/>
          </w:tcPr>
          <w:p>
            <w:r>
              <w:rPr>
                <w:b/>
                <w:color w:val="FFFFFF"/>
                <w:sz w:val="20"/>
              </w:rPr>
              <w:t>Savings Potential</w:t>
            </w:r>
          </w:p>
        </w:tc>
      </w:tr>
      <w:tr>
        <w:tc>
          <w:tcPr>
            <w:tcW w:type="dxa" w:w="2160"/>
          </w:tcPr>
          <w:p>
            <w:r>
              <w:rPr>
                <w:sz w:val="20"/>
              </w:rPr>
              <w:t>Custom ABAP Development</w:t>
            </w:r>
          </w:p>
        </w:tc>
        <w:tc>
          <w:tcPr>
            <w:tcW w:type="dxa" w:w="2160"/>
          </w:tcPr>
          <w:p>
            <w:r>
              <w:rPr>
                <w:sz w:val="20"/>
              </w:rPr>
              <w:t>$3-5B/year (all industries)</w:t>
            </w:r>
          </w:p>
        </w:tc>
        <w:tc>
          <w:tcPr>
            <w:tcW w:type="dxa" w:w="2160"/>
          </w:tcPr>
          <w:p>
            <w:r>
              <w:rPr>
                <w:sz w:val="20"/>
              </w:rPr>
              <w:t>60-70%</w:t>
            </w:r>
          </w:p>
        </w:tc>
        <w:tc>
          <w:tcPr>
            <w:tcW w:type="dxa" w:w="2160"/>
          </w:tcPr>
          <w:p>
            <w:r>
              <w:rPr>
                <w:sz w:val="20"/>
              </w:rPr>
              <w:t>40-50% cost reduction</w:t>
            </w:r>
          </w:p>
        </w:tc>
      </w:tr>
      <w:tr>
        <w:tc>
          <w:tcPr>
            <w:tcW w:type="dxa" w:w="2160"/>
          </w:tcPr>
          <w:p>
            <w:r>
              <w:rPr>
                <w:sz w:val="20"/>
              </w:rPr>
              <w:t>Middleware Licensing</w:t>
            </w:r>
          </w:p>
        </w:tc>
        <w:tc>
          <w:tcPr>
            <w:tcW w:type="dxa" w:w="2160"/>
          </w:tcPr>
          <w:p>
            <w:r>
              <w:rPr>
                <w:sz w:val="20"/>
              </w:rPr>
              <w:t>$2-3B/year</w:t>
            </w:r>
          </w:p>
        </w:tc>
        <w:tc>
          <w:tcPr>
            <w:tcW w:type="dxa" w:w="2160"/>
          </w:tcPr>
          <w:p>
            <w:r>
              <w:rPr>
                <w:sz w:val="20"/>
              </w:rPr>
              <w:t>50-60%</w:t>
            </w:r>
          </w:p>
        </w:tc>
        <w:tc>
          <w:tcPr>
            <w:tcW w:type="dxa" w:w="2160"/>
          </w:tcPr>
          <w:p>
            <w:r>
              <w:rPr>
                <w:sz w:val="20"/>
              </w:rPr>
              <w:t>Replace with OData+AI agents</w:t>
            </w:r>
          </w:p>
        </w:tc>
      </w:tr>
      <w:tr>
        <w:tc>
          <w:tcPr>
            <w:tcW w:type="dxa" w:w="2160"/>
          </w:tcPr>
          <w:p>
            <w:r>
              <w:rPr>
                <w:sz w:val="20"/>
              </w:rPr>
              <w:t>Manual Data Entry/Reconciliation</w:t>
            </w:r>
          </w:p>
        </w:tc>
        <w:tc>
          <w:tcPr>
            <w:tcW w:type="dxa" w:w="2160"/>
          </w:tcPr>
          <w:p>
            <w:r>
              <w:rPr>
                <w:sz w:val="20"/>
              </w:rPr>
              <w:t>$5-8B/year</w:t>
            </w:r>
          </w:p>
        </w:tc>
        <w:tc>
          <w:tcPr>
            <w:tcW w:type="dxa" w:w="2160"/>
          </w:tcPr>
          <w:p>
            <w:r>
              <w:rPr>
                <w:sz w:val="20"/>
              </w:rPr>
              <w:t>80-90%</w:t>
            </w:r>
          </w:p>
        </w:tc>
        <w:tc>
          <w:tcPr>
            <w:tcW w:type="dxa" w:w="2160"/>
          </w:tcPr>
          <w:p>
            <w:r>
              <w:rPr>
                <w:sz w:val="20"/>
              </w:rPr>
              <w:t>Near-full automation</w:t>
            </w:r>
          </w:p>
        </w:tc>
      </w:tr>
      <w:tr>
        <w:tc>
          <w:tcPr>
            <w:tcW w:type="dxa" w:w="2160"/>
          </w:tcPr>
          <w:p>
            <w:r>
              <w:rPr>
                <w:sz w:val="20"/>
              </w:rPr>
              <w:t>SAP Consulting Services</w:t>
            </w:r>
          </w:p>
        </w:tc>
        <w:tc>
          <w:tcPr>
            <w:tcW w:type="dxa" w:w="2160"/>
          </w:tcPr>
          <w:p>
            <w:r>
              <w:rPr>
                <w:sz w:val="20"/>
              </w:rPr>
              <w:t>$20B+/year</w:t>
            </w:r>
          </w:p>
        </w:tc>
        <w:tc>
          <w:tcPr>
            <w:tcW w:type="dxa" w:w="2160"/>
          </w:tcPr>
          <w:p>
            <w:r>
              <w:rPr>
                <w:sz w:val="20"/>
              </w:rPr>
              <w:t>30-40%</w:t>
            </w:r>
          </w:p>
        </w:tc>
        <w:tc>
          <w:tcPr>
            <w:tcW w:type="dxa" w:w="2160"/>
          </w:tcPr>
          <w:p>
            <w:r>
              <w:rPr>
                <w:sz w:val="20"/>
              </w:rPr>
              <w:t>AI-assisted implementation</w:t>
            </w:r>
          </w:p>
        </w:tc>
      </w:tr>
    </w:tbl>
    <w:p/>
    <w:p>
      <w:r>
        <w:br w:type="page"/>
      </w:r>
    </w:p>
    <w:p>
      <w:pPr>
        <w:pStyle w:val="Heading1"/>
      </w:pPr>
      <w:r>
        <w:t>5. Toyota TMNA Digital Landscape</w:t>
      </w:r>
    </w:p>
    <w:p>
      <w:pPr>
        <w:pStyle w:val="Heading2"/>
      </w:pPr>
      <w:r>
        <w:t>Leadership &amp; Strategy</w:t>
      </w:r>
    </w:p>
    <w:p>
      <w:pPr>
        <w:pStyle w:val="ListBullet"/>
      </w:pPr>
      <w:r>
        <w:rPr>
          <w:b/>
        </w:rPr>
        <w:t>CIO:</w:t>
      </w:r>
      <w:r>
        <w:t xml:space="preserve"> Holly Walters serves as Group VP and Chief Information Officer at TMNA.</w:t>
      </w:r>
    </w:p>
    <w:p>
      <w:pPr>
        <w:pStyle w:val="ListBullet"/>
      </w:pPr>
      <w:r>
        <w:rPr>
          <w:b/>
        </w:rPr>
        <w:t>Head of AI:</w:t>
      </w:r>
      <w:r>
        <w:t xml:space="preserve"> Brian Kursar promoted to Group VP of Digital Technology and Head of AI at TMNA, also appointed to Toyota Research Institute leadership for the global AI accelerator.</w:t>
      </w:r>
    </w:p>
    <w:p>
      <w:pPr>
        <w:pStyle w:val="ListBullet"/>
      </w:pPr>
      <w:r>
        <w:rPr>
          <w:b/>
        </w:rPr>
        <w:t>Cloud Strategy:</w:t>
      </w:r>
      <w:r>
        <w:t xml:space="preserve"> TMNA is shifting its automation agenda with cloud-centered tools to reap savings and evolve toward data-informed operations.</w:t>
      </w:r>
    </w:p>
    <w:p>
      <w:pPr>
        <w:pStyle w:val="Heading2"/>
      </w:pPr>
      <w:r>
        <w:t>Global AI Accelerator (GAIA)</w:t>
      </w:r>
    </w:p>
    <w:p>
      <w:r>
        <w:t>Launched in 2025, GAIA is "rooted in the idea of Toyota's longstanding practice of Jidoka" (automation with a human touch). The mission is to rapidly accelerate adoption of proven AI systems across the entire global Toyota group. The in-house AI Platform is projected to save 10,000 hours of manual work annually, accelerating the PDCA cycle central to Kaizen.</w:t>
      </w:r>
    </w:p>
    <w:p>
      <w:pPr>
        <w:pStyle w:val="Heading2"/>
      </w:pPr>
      <w:r>
        <w:t>SAP Footprint Across Toyota</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1B3A5C"/>
          </w:tcPr>
          <w:p>
            <w:r>
              <w:rPr>
                <w:b/>
                <w:color w:val="FFFFFF"/>
                <w:sz w:val="20"/>
              </w:rPr>
              <w:t>Region</w:t>
            </w:r>
          </w:p>
        </w:tc>
        <w:tc>
          <w:tcPr>
            <w:tcW w:type="dxa" w:w="2880"/>
            <w:shd w:val="clear" w:color="auto" w:fill="1B3A5C"/>
          </w:tcPr>
          <w:p>
            <w:r>
              <w:rPr>
                <w:b/>
                <w:color w:val="FFFFFF"/>
                <w:sz w:val="20"/>
              </w:rPr>
              <w:t>SAP Status</w:t>
            </w:r>
          </w:p>
        </w:tc>
        <w:tc>
          <w:tcPr>
            <w:tcW w:type="dxa" w:w="2880"/>
            <w:shd w:val="clear" w:color="auto" w:fill="1B3A5C"/>
          </w:tcPr>
          <w:p>
            <w:r>
              <w:rPr>
                <w:b/>
                <w:color w:val="FFFFFF"/>
                <w:sz w:val="20"/>
              </w:rPr>
              <w:t>Key Initiative</w:t>
            </w:r>
          </w:p>
        </w:tc>
      </w:tr>
      <w:tr>
        <w:tc>
          <w:tcPr>
            <w:tcW w:type="dxa" w:w="2880"/>
          </w:tcPr>
          <w:p>
            <w:r>
              <w:rPr>
                <w:sz w:val="20"/>
              </w:rPr>
              <w:t>Toyota South Africa</w:t>
            </w:r>
          </w:p>
        </w:tc>
        <w:tc>
          <w:tcPr>
            <w:tcW w:type="dxa" w:w="2880"/>
          </w:tcPr>
          <w:p>
            <w:r>
              <w:rPr>
                <w:sz w:val="20"/>
              </w:rPr>
              <w:t>S/4HANA (migrated 2025)</w:t>
            </w:r>
          </w:p>
        </w:tc>
        <w:tc>
          <w:tcPr>
            <w:tcW w:type="dxa" w:w="2880"/>
          </w:tcPr>
          <w:p>
            <w:r>
              <w:rPr>
                <w:sz w:val="20"/>
              </w:rPr>
              <w:t>IBM-led Brownfield upgrade, HR + parts management</w:t>
            </w:r>
          </w:p>
        </w:tc>
      </w:tr>
      <w:tr>
        <w:tc>
          <w:tcPr>
            <w:tcW w:type="dxa" w:w="2880"/>
          </w:tcPr>
          <w:p>
            <w:r>
              <w:rPr>
                <w:sz w:val="20"/>
              </w:rPr>
              <w:t>Toyota Vietnam</w:t>
            </w:r>
          </w:p>
        </w:tc>
        <w:tc>
          <w:tcPr>
            <w:tcW w:type="dxa" w:w="2880"/>
          </w:tcPr>
          <w:p>
            <w:r>
              <w:rPr>
                <w:sz w:val="20"/>
              </w:rPr>
              <w:t>S/4HANA (deployed)</w:t>
            </w:r>
          </w:p>
        </w:tc>
        <w:tc>
          <w:tcPr>
            <w:tcW w:type="dxa" w:w="2880"/>
          </w:tcPr>
          <w:p>
            <w:r>
              <w:rPr>
                <w:sz w:val="20"/>
              </w:rPr>
              <w:t>FPT IS implementation</w:t>
            </w:r>
          </w:p>
        </w:tc>
      </w:tr>
      <w:tr>
        <w:tc>
          <w:tcPr>
            <w:tcW w:type="dxa" w:w="2880"/>
          </w:tcPr>
          <w:p>
            <w:r>
              <w:rPr>
                <w:sz w:val="20"/>
              </w:rPr>
              <w:t>Toyota Indus (Pakistan)</w:t>
            </w:r>
          </w:p>
        </w:tc>
        <w:tc>
          <w:tcPr>
            <w:tcW w:type="dxa" w:w="2880"/>
          </w:tcPr>
          <w:p>
            <w:r>
              <w:rPr>
                <w:sz w:val="20"/>
              </w:rPr>
              <w:t>S/4HANA on IBM Systems</w:t>
            </w:r>
          </w:p>
        </w:tc>
        <w:tc>
          <w:tcPr>
            <w:tcW w:type="dxa" w:w="2880"/>
          </w:tcPr>
          <w:p>
            <w:r>
              <w:rPr>
                <w:sz w:val="20"/>
              </w:rPr>
              <w:t>Customer experience improvement</w:t>
            </w:r>
          </w:p>
        </w:tc>
      </w:tr>
      <w:tr>
        <w:tc>
          <w:tcPr>
            <w:tcW w:type="dxa" w:w="2880"/>
          </w:tcPr>
          <w:p>
            <w:r>
              <w:rPr>
                <w:sz w:val="20"/>
              </w:rPr>
              <w:t>TMNA</w:t>
            </w:r>
          </w:p>
        </w:tc>
        <w:tc>
          <w:tcPr>
            <w:tcW w:type="dxa" w:w="2880"/>
          </w:tcPr>
          <w:p>
            <w:r>
              <w:rPr>
                <w:sz w:val="20"/>
              </w:rPr>
              <w:t>SAP landscape (migration path)</w:t>
            </w:r>
          </w:p>
        </w:tc>
        <w:tc>
          <w:tcPr>
            <w:tcW w:type="dxa" w:w="2880"/>
          </w:tcPr>
          <w:p>
            <w:r>
              <w:rPr>
                <w:sz w:val="20"/>
              </w:rPr>
              <w:t>Cloud-first automation strategy</w:t>
            </w:r>
          </w:p>
        </w:tc>
      </w:tr>
    </w:tbl>
    <w:p/>
    <w:p>
      <w:pPr>
        <w:pStyle w:val="Heading2"/>
      </w:pPr>
      <w:r>
        <w:t>North Star Metric</w:t>
      </w:r>
    </w:p>
    <w:p>
      <w:r>
        <w:t>For TMNA SAP+AI integration: Hours of Manual SAP Operations Eliminated Per Quarter. Starting baseline: 10,000 hours/year from GAIA. Target: 50,000+ hours/year by 2028 through AI agents operating across OData-connected SAP modules.</w:t>
      </w:r>
    </w:p>
    <w:p>
      <w:r>
        <w:br w:type="page"/>
      </w:r>
    </w:p>
    <w:p>
      <w:pPr>
        <w:pStyle w:val="Heading1"/>
      </w:pPr>
      <w:r>
        <w:t>6. SAP OData: The AI Integration Layer</w:t>
      </w:r>
    </w:p>
    <w:p>
      <w:pPr>
        <w:pStyle w:val="Heading2"/>
      </w:pPr>
      <w:r>
        <w:t>Why OData Is the Backbone</w:t>
      </w:r>
    </w:p>
    <w:p>
      <w:r>
        <w:t>OData (Open Data Protocol) is now the default data access layer in SAP Gateway and S/4HANA. It provides a standardized, RESTful interface to SAP business objects — making it the natural integration surface for AI agents. Unlike BAPIs (function-oriented) or IDocs (batch-oriented), OData services are resource-oriented, self-describing (via $metadata), and web-native.</w:t>
      </w:r>
    </w:p>
    <w:tbl>
      <w:tblPr>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B3A5C"/>
          </w:tcPr>
          <w:p>
            <w:r>
              <w:rPr>
                <w:b/>
                <w:color w:val="FFFFFF"/>
                <w:sz w:val="20"/>
              </w:rPr>
              <w:t>Integration Method</w:t>
            </w:r>
          </w:p>
        </w:tc>
        <w:tc>
          <w:tcPr>
            <w:tcW w:type="dxa" w:w="1728"/>
            <w:shd w:val="clear" w:color="auto" w:fill="1B3A5C"/>
          </w:tcPr>
          <w:p>
            <w:r>
              <w:rPr>
                <w:b/>
                <w:color w:val="FFFFFF"/>
                <w:sz w:val="20"/>
              </w:rPr>
              <w:t>Protocol</w:t>
            </w:r>
          </w:p>
        </w:tc>
        <w:tc>
          <w:tcPr>
            <w:tcW w:type="dxa" w:w="1728"/>
            <w:shd w:val="clear" w:color="auto" w:fill="1B3A5C"/>
          </w:tcPr>
          <w:p>
            <w:r>
              <w:rPr>
                <w:b/>
                <w:color w:val="FFFFFF"/>
                <w:sz w:val="20"/>
              </w:rPr>
              <w:t>AI Suitability</w:t>
            </w:r>
          </w:p>
        </w:tc>
        <w:tc>
          <w:tcPr>
            <w:tcW w:type="dxa" w:w="1728"/>
            <w:shd w:val="clear" w:color="auto" w:fill="1B3A5C"/>
          </w:tcPr>
          <w:p>
            <w:r>
              <w:rPr>
                <w:b/>
                <w:color w:val="FFFFFF"/>
                <w:sz w:val="20"/>
              </w:rPr>
              <w:t>Maintenance Cost</w:t>
            </w:r>
          </w:p>
        </w:tc>
        <w:tc>
          <w:tcPr>
            <w:tcW w:type="dxa" w:w="1728"/>
            <w:shd w:val="clear" w:color="auto" w:fill="1B3A5C"/>
          </w:tcPr>
          <w:p>
            <w:r>
              <w:rPr>
                <w:b/>
                <w:color w:val="FFFFFF"/>
                <w:sz w:val="20"/>
              </w:rPr>
              <w:t>Real-Time</w:t>
            </w:r>
          </w:p>
        </w:tc>
      </w:tr>
      <w:tr>
        <w:tc>
          <w:tcPr>
            <w:tcW w:type="dxa" w:w="1728"/>
          </w:tcPr>
          <w:p>
            <w:r>
              <w:rPr>
                <w:sz w:val="20"/>
              </w:rPr>
              <w:t>OData V2/V4</w:t>
            </w:r>
          </w:p>
        </w:tc>
        <w:tc>
          <w:tcPr>
            <w:tcW w:type="dxa" w:w="1728"/>
          </w:tcPr>
          <w:p>
            <w:r>
              <w:rPr>
                <w:sz w:val="20"/>
              </w:rPr>
              <w:t>REST/HTTP</w:t>
            </w:r>
          </w:p>
        </w:tc>
        <w:tc>
          <w:tcPr>
            <w:tcW w:type="dxa" w:w="1728"/>
          </w:tcPr>
          <w:p>
            <w:r>
              <w:rPr>
                <w:sz w:val="20"/>
              </w:rPr>
              <w:t>Excellent — self-describing, standard</w:t>
            </w:r>
          </w:p>
        </w:tc>
        <w:tc>
          <w:tcPr>
            <w:tcW w:type="dxa" w:w="1728"/>
          </w:tcPr>
          <w:p>
            <w:r>
              <w:rPr>
                <w:sz w:val="20"/>
              </w:rPr>
              <w:t>Low</w:t>
            </w:r>
          </w:p>
        </w:tc>
        <w:tc>
          <w:tcPr>
            <w:tcW w:type="dxa" w:w="1728"/>
          </w:tcPr>
          <w:p>
            <w:r>
              <w:rPr>
                <w:sz w:val="20"/>
              </w:rPr>
              <w:t>Yes</w:t>
            </w:r>
          </w:p>
        </w:tc>
      </w:tr>
      <w:tr>
        <w:tc>
          <w:tcPr>
            <w:tcW w:type="dxa" w:w="1728"/>
          </w:tcPr>
          <w:p>
            <w:r>
              <w:rPr>
                <w:sz w:val="20"/>
              </w:rPr>
              <w:t>BAPI/RFC</w:t>
            </w:r>
          </w:p>
        </w:tc>
        <w:tc>
          <w:tcPr>
            <w:tcW w:type="dxa" w:w="1728"/>
          </w:tcPr>
          <w:p>
            <w:r>
              <w:rPr>
                <w:sz w:val="20"/>
              </w:rPr>
              <w:t>Proprietary</w:t>
            </w:r>
          </w:p>
        </w:tc>
        <w:tc>
          <w:tcPr>
            <w:tcW w:type="dxa" w:w="1728"/>
          </w:tcPr>
          <w:p>
            <w:r>
              <w:rPr>
                <w:sz w:val="20"/>
              </w:rPr>
              <w:t>Poor — requires SAP connector</w:t>
            </w:r>
          </w:p>
        </w:tc>
        <w:tc>
          <w:tcPr>
            <w:tcW w:type="dxa" w:w="1728"/>
          </w:tcPr>
          <w:p>
            <w:r>
              <w:rPr>
                <w:sz w:val="20"/>
              </w:rPr>
              <w:t>High</w:t>
            </w:r>
          </w:p>
        </w:tc>
        <w:tc>
          <w:tcPr>
            <w:tcW w:type="dxa" w:w="1728"/>
          </w:tcPr>
          <w:p>
            <w:r>
              <w:rPr>
                <w:sz w:val="20"/>
              </w:rPr>
              <w:t>Yes</w:t>
            </w:r>
          </w:p>
        </w:tc>
      </w:tr>
      <w:tr>
        <w:tc>
          <w:tcPr>
            <w:tcW w:type="dxa" w:w="1728"/>
          </w:tcPr>
          <w:p>
            <w:r>
              <w:rPr>
                <w:sz w:val="20"/>
              </w:rPr>
              <w:t>IDoc</w:t>
            </w:r>
          </w:p>
        </w:tc>
        <w:tc>
          <w:tcPr>
            <w:tcW w:type="dxa" w:w="1728"/>
          </w:tcPr>
          <w:p>
            <w:r>
              <w:rPr>
                <w:sz w:val="20"/>
              </w:rPr>
              <w:t>EDI/XML</w:t>
            </w:r>
          </w:p>
        </w:tc>
        <w:tc>
          <w:tcPr>
            <w:tcW w:type="dxa" w:w="1728"/>
          </w:tcPr>
          <w:p>
            <w:r>
              <w:rPr>
                <w:sz w:val="20"/>
              </w:rPr>
              <w:t>Poor — batch-oriented</w:t>
            </w:r>
          </w:p>
        </w:tc>
        <w:tc>
          <w:tcPr>
            <w:tcW w:type="dxa" w:w="1728"/>
          </w:tcPr>
          <w:p>
            <w:r>
              <w:rPr>
                <w:sz w:val="20"/>
              </w:rPr>
              <w:t>High</w:t>
            </w:r>
          </w:p>
        </w:tc>
        <w:tc>
          <w:tcPr>
            <w:tcW w:type="dxa" w:w="1728"/>
          </w:tcPr>
          <w:p>
            <w:r>
              <w:rPr>
                <w:sz w:val="20"/>
              </w:rPr>
              <w:t>No</w:t>
            </w:r>
          </w:p>
        </w:tc>
      </w:tr>
      <w:tr>
        <w:tc>
          <w:tcPr>
            <w:tcW w:type="dxa" w:w="1728"/>
          </w:tcPr>
          <w:p>
            <w:r>
              <w:rPr>
                <w:sz w:val="20"/>
              </w:rPr>
              <w:t>Custom ABAP</w:t>
            </w:r>
          </w:p>
        </w:tc>
        <w:tc>
          <w:tcPr>
            <w:tcW w:type="dxa" w:w="1728"/>
          </w:tcPr>
          <w:p>
            <w:r>
              <w:rPr>
                <w:sz w:val="20"/>
              </w:rPr>
              <w:t>Proprietary</w:t>
            </w:r>
          </w:p>
        </w:tc>
        <w:tc>
          <w:tcPr>
            <w:tcW w:type="dxa" w:w="1728"/>
          </w:tcPr>
          <w:p>
            <w:r>
              <w:rPr>
                <w:sz w:val="20"/>
              </w:rPr>
              <w:t>Very Poor — tightly coupled</w:t>
            </w:r>
          </w:p>
        </w:tc>
        <w:tc>
          <w:tcPr>
            <w:tcW w:type="dxa" w:w="1728"/>
          </w:tcPr>
          <w:p>
            <w:r>
              <w:rPr>
                <w:sz w:val="20"/>
              </w:rPr>
              <w:t>Very High</w:t>
            </w:r>
          </w:p>
        </w:tc>
        <w:tc>
          <w:tcPr>
            <w:tcW w:type="dxa" w:w="1728"/>
          </w:tcPr>
          <w:p>
            <w:r>
              <w:rPr>
                <w:sz w:val="20"/>
              </w:rPr>
              <w:t>Varies</w:t>
            </w:r>
          </w:p>
        </w:tc>
      </w:tr>
      <w:tr>
        <w:tc>
          <w:tcPr>
            <w:tcW w:type="dxa" w:w="1728"/>
          </w:tcPr>
          <w:p>
            <w:r>
              <w:rPr>
                <w:sz w:val="20"/>
              </w:rPr>
              <w:t>SAP Integration Suite</w:t>
            </w:r>
          </w:p>
        </w:tc>
        <w:tc>
          <w:tcPr>
            <w:tcW w:type="dxa" w:w="1728"/>
          </w:tcPr>
          <w:p>
            <w:r>
              <w:rPr>
                <w:sz w:val="20"/>
              </w:rPr>
              <w:t>Mixed</w:t>
            </w:r>
          </w:p>
        </w:tc>
        <w:tc>
          <w:tcPr>
            <w:tcW w:type="dxa" w:w="1728"/>
          </w:tcPr>
          <w:p>
            <w:r>
              <w:rPr>
                <w:sz w:val="20"/>
              </w:rPr>
              <w:t>Good — managed layer</w:t>
            </w:r>
          </w:p>
        </w:tc>
        <w:tc>
          <w:tcPr>
            <w:tcW w:type="dxa" w:w="1728"/>
          </w:tcPr>
          <w:p>
            <w:r>
              <w:rPr>
                <w:sz w:val="20"/>
              </w:rPr>
              <w:t>Medium</w:t>
            </w:r>
          </w:p>
        </w:tc>
        <w:tc>
          <w:tcPr>
            <w:tcW w:type="dxa" w:w="1728"/>
          </w:tcPr>
          <w:p>
            <w:r>
              <w:rPr>
                <w:sz w:val="20"/>
              </w:rPr>
              <w:t>Yes</w:t>
            </w:r>
          </w:p>
        </w:tc>
      </w:tr>
    </w:tbl>
    <w:p/>
    <w:p>
      <w:pPr>
        <w:pStyle w:val="Heading2"/>
      </w:pPr>
      <w:r>
        <w:t>OData-to-MCP Bridge Architecture</w:t>
      </w:r>
    </w:p>
    <w:p>
      <w:r>
        <w:t>The breakthrough pattern of 2025: OData services can be exposed as MCP (Model Context Protocol) tools, allowing any AI agent — Claude, GPT, Gemini — to discover, query, and write to SAP systems through a standardized protocol. Key architectural features:</w:t>
      </w:r>
    </w:p>
    <w:p>
      <w:pPr>
        <w:pStyle w:val="ListBullet"/>
      </w:pPr>
      <w:r>
        <w:rPr>
          <w:b/>
        </w:rPr>
        <w:t>Efficiency:</w:t>
      </w:r>
      <w:r>
        <w:t xml:space="preserve"> Progressive detail fetching — Level 1 returns 90% less data than full schemas, fetching full detail only when needed.</w:t>
      </w:r>
    </w:p>
    <w:p>
      <w:pPr>
        <w:pStyle w:val="ListBullet"/>
      </w:pPr>
      <w:r>
        <w:rPr>
          <w:b/>
        </w:rPr>
        <w:t>Security:</w:t>
      </w:r>
      <w:r>
        <w:t xml:space="preserve"> Native SAP PFCG authorizations enforced end-to-end; user role-based restrictions carry over automatically.</w:t>
      </w:r>
    </w:p>
    <w:p>
      <w:pPr>
        <w:pStyle w:val="ListBullet"/>
      </w:pPr>
      <w:r>
        <w:rPr>
          <w:b/>
        </w:rPr>
        <w:t>Deployment:</w:t>
      </w:r>
      <w:r>
        <w:t xml:space="preserve"> Config-driven MCP server runs on SAP BTP CloudFoundry, connecting to on-premise or cloud SAP systems via Destination service.</w:t>
      </w:r>
    </w:p>
    <w:p>
      <w:pPr>
        <w:pStyle w:val="ListBullet"/>
      </w:pPr>
      <w:r>
        <w:rPr>
          <w:b/>
        </w:rPr>
        <w:t>Scale:</w:t>
      </w:r>
      <w:r>
        <w:t xml:space="preserve"> A single bridge can expose all OData services from an SAP system — one developer reported "accidentally making 15,000 enterprise services talk to AI."</w:t>
      </w:r>
    </w:p>
    <w:p>
      <w:r>
        <w:br w:type="page"/>
      </w:r>
    </w:p>
    <w:p>
      <w:pPr>
        <w:pStyle w:val="Heading1"/>
      </w:pPr>
      <w:r>
        <w:t>7. Proof Points — Companies Winning</w:t>
      </w:r>
    </w:p>
    <w:tbl>
      <w:tblPr>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B3A5C"/>
          </w:tcPr>
          <w:p>
            <w:r>
              <w:rPr>
                <w:b/>
                <w:color w:val="FFFFFF"/>
                <w:sz w:val="20"/>
              </w:rPr>
              <w:t>Company</w:t>
            </w:r>
          </w:p>
        </w:tc>
        <w:tc>
          <w:tcPr>
            <w:tcW w:type="dxa" w:w="1728"/>
            <w:shd w:val="clear" w:color="auto" w:fill="1B3A5C"/>
          </w:tcPr>
          <w:p>
            <w:r>
              <w:rPr>
                <w:b/>
                <w:color w:val="FFFFFF"/>
                <w:sz w:val="20"/>
              </w:rPr>
              <w:t>Category</w:t>
            </w:r>
          </w:p>
        </w:tc>
        <w:tc>
          <w:tcPr>
            <w:tcW w:type="dxa" w:w="1728"/>
            <w:shd w:val="clear" w:color="auto" w:fill="1B3A5C"/>
          </w:tcPr>
          <w:p>
            <w:r>
              <w:rPr>
                <w:b/>
                <w:color w:val="FFFFFF"/>
                <w:sz w:val="20"/>
              </w:rPr>
              <w:t>Valuation/Funding</w:t>
            </w:r>
          </w:p>
        </w:tc>
        <w:tc>
          <w:tcPr>
            <w:tcW w:type="dxa" w:w="1728"/>
            <w:shd w:val="clear" w:color="auto" w:fill="1B3A5C"/>
          </w:tcPr>
          <w:p>
            <w:r>
              <w:rPr>
                <w:b/>
                <w:color w:val="FFFFFF"/>
                <w:sz w:val="20"/>
              </w:rPr>
              <w:t>Key Metric</w:t>
            </w:r>
          </w:p>
        </w:tc>
        <w:tc>
          <w:tcPr>
            <w:tcW w:type="dxa" w:w="1728"/>
            <w:shd w:val="clear" w:color="auto" w:fill="1B3A5C"/>
          </w:tcPr>
          <w:p>
            <w:r>
              <w:rPr>
                <w:b/>
                <w:color w:val="FFFFFF"/>
                <w:sz w:val="20"/>
              </w:rPr>
              <w:t>SAP Connection</w:t>
            </w:r>
          </w:p>
        </w:tc>
      </w:tr>
      <w:tr>
        <w:tc>
          <w:tcPr>
            <w:tcW w:type="dxa" w:w="1728"/>
          </w:tcPr>
          <w:p>
            <w:r>
              <w:rPr>
                <w:sz w:val="20"/>
              </w:rPr>
              <w:t>Celonis</w:t>
            </w:r>
          </w:p>
        </w:tc>
        <w:tc>
          <w:tcPr>
            <w:tcW w:type="dxa" w:w="1728"/>
          </w:tcPr>
          <w:p>
            <w:r>
              <w:rPr>
                <w:sz w:val="20"/>
              </w:rPr>
              <w:t>Process Mining</w:t>
            </w:r>
          </w:p>
        </w:tc>
        <w:tc>
          <w:tcPr>
            <w:tcW w:type="dxa" w:w="1728"/>
          </w:tcPr>
          <w:p>
            <w:r>
              <w:rPr>
                <w:sz w:val="20"/>
              </w:rPr>
              <w:t>$13B (Series D)</w:t>
            </w:r>
          </w:p>
        </w:tc>
        <w:tc>
          <w:tcPr>
            <w:tcW w:type="dxa" w:w="1728"/>
          </w:tcPr>
          <w:p>
            <w:r>
              <w:rPr>
                <w:sz w:val="20"/>
              </w:rPr>
              <w:t>Preparing IPO at $15-20B</w:t>
            </w:r>
          </w:p>
        </w:tc>
        <w:tc>
          <w:tcPr>
            <w:tcW w:type="dxa" w:w="1728"/>
          </w:tcPr>
          <w:p>
            <w:r>
              <w:rPr>
                <w:sz w:val="20"/>
              </w:rPr>
              <w:t>Deep SAP event log integration</w:t>
            </w:r>
          </w:p>
        </w:tc>
      </w:tr>
      <w:tr>
        <w:tc>
          <w:tcPr>
            <w:tcW w:type="dxa" w:w="1728"/>
          </w:tcPr>
          <w:p>
            <w:r>
              <w:rPr>
                <w:sz w:val="20"/>
              </w:rPr>
              <w:t>SAP (Joule)</w:t>
            </w:r>
          </w:p>
        </w:tc>
        <w:tc>
          <w:tcPr>
            <w:tcW w:type="dxa" w:w="1728"/>
          </w:tcPr>
          <w:p>
            <w:r>
              <w:rPr>
                <w:sz w:val="20"/>
              </w:rPr>
              <w:t>Native AI Platform</w:t>
            </w:r>
          </w:p>
        </w:tc>
        <w:tc>
          <w:tcPr>
            <w:tcW w:type="dxa" w:w="1728"/>
          </w:tcPr>
          <w:p>
            <w:r>
              <w:rPr>
                <w:sz w:val="20"/>
              </w:rPr>
              <w:t>$250B+ market cap</w:t>
            </w:r>
          </w:p>
        </w:tc>
        <w:tc>
          <w:tcPr>
            <w:tcW w:type="dxa" w:w="1728"/>
          </w:tcPr>
          <w:p>
            <w:r>
              <w:rPr>
                <w:sz w:val="20"/>
              </w:rPr>
              <w:t>40+ agents, 2,400+ skills</w:t>
            </w:r>
          </w:p>
        </w:tc>
        <w:tc>
          <w:tcPr>
            <w:tcW w:type="dxa" w:w="1728"/>
          </w:tcPr>
          <w:p>
            <w:r>
              <w:rPr>
                <w:sz w:val="20"/>
              </w:rPr>
              <w:t>Native S/4HANA integration</w:t>
            </w:r>
          </w:p>
        </w:tc>
      </w:tr>
      <w:tr>
        <w:tc>
          <w:tcPr>
            <w:tcW w:type="dxa" w:w="1728"/>
          </w:tcPr>
          <w:p>
            <w:r>
              <w:rPr>
                <w:sz w:val="20"/>
              </w:rPr>
              <w:t>Workato</w:t>
            </w:r>
          </w:p>
        </w:tc>
        <w:tc>
          <w:tcPr>
            <w:tcW w:type="dxa" w:w="1728"/>
          </w:tcPr>
          <w:p>
            <w:r>
              <w:rPr>
                <w:sz w:val="20"/>
              </w:rPr>
              <w:t>Enterprise iPaaS</w:t>
            </w:r>
          </w:p>
        </w:tc>
        <w:tc>
          <w:tcPr>
            <w:tcW w:type="dxa" w:w="1728"/>
          </w:tcPr>
          <w:p>
            <w:r>
              <w:rPr>
                <w:sz w:val="20"/>
              </w:rPr>
              <w:t>$5.7B</w:t>
            </w:r>
          </w:p>
        </w:tc>
        <w:tc>
          <w:tcPr>
            <w:tcW w:type="dxa" w:w="1728"/>
          </w:tcPr>
          <w:p>
            <w:r>
              <w:rPr>
                <w:sz w:val="20"/>
              </w:rPr>
              <w:t>First Enterprise MCP implementation</w:t>
            </w:r>
          </w:p>
        </w:tc>
        <w:tc>
          <w:tcPr>
            <w:tcW w:type="dxa" w:w="1728"/>
          </w:tcPr>
          <w:p>
            <w:r>
              <w:rPr>
                <w:sz w:val="20"/>
              </w:rPr>
              <w:t>SAP RFC, OData connectors</w:t>
            </w:r>
          </w:p>
        </w:tc>
      </w:tr>
      <w:tr>
        <w:tc>
          <w:tcPr>
            <w:tcW w:type="dxa" w:w="1728"/>
          </w:tcPr>
          <w:p>
            <w:r>
              <w:rPr>
                <w:sz w:val="20"/>
              </w:rPr>
              <w:t>Automation Anywhere</w:t>
            </w:r>
          </w:p>
        </w:tc>
        <w:tc>
          <w:tcPr>
            <w:tcW w:type="dxa" w:w="1728"/>
          </w:tcPr>
          <w:p>
            <w:r>
              <w:rPr>
                <w:sz w:val="20"/>
              </w:rPr>
              <w:t>RPA + AI</w:t>
            </w:r>
          </w:p>
        </w:tc>
        <w:tc>
          <w:tcPr>
            <w:tcW w:type="dxa" w:w="1728"/>
          </w:tcPr>
          <w:p>
            <w:r>
              <w:rPr>
                <w:sz w:val="20"/>
              </w:rPr>
              <w:t>$6.8B</w:t>
            </w:r>
          </w:p>
        </w:tc>
        <w:tc>
          <w:tcPr>
            <w:tcW w:type="dxa" w:w="1728"/>
          </w:tcPr>
          <w:p>
            <w:r>
              <w:rPr>
                <w:sz w:val="20"/>
              </w:rPr>
              <w:t>SAP-certified integration</w:t>
            </w:r>
          </w:p>
        </w:tc>
        <w:tc>
          <w:tcPr>
            <w:tcW w:type="dxa" w:w="1728"/>
          </w:tcPr>
          <w:p>
            <w:r>
              <w:rPr>
                <w:sz w:val="20"/>
              </w:rPr>
              <w:t>BAPI, RFC, OData automation</w:t>
            </w:r>
          </w:p>
        </w:tc>
      </w:tr>
      <w:tr>
        <w:tc>
          <w:tcPr>
            <w:tcW w:type="dxa" w:w="1728"/>
          </w:tcPr>
          <w:p>
            <w:r>
              <w:rPr>
                <w:sz w:val="20"/>
              </w:rPr>
              <w:t>LeanIX (SAP)</w:t>
            </w:r>
          </w:p>
        </w:tc>
        <w:tc>
          <w:tcPr>
            <w:tcW w:type="dxa" w:w="1728"/>
          </w:tcPr>
          <w:p>
            <w:r>
              <w:rPr>
                <w:sz w:val="20"/>
              </w:rPr>
              <w:t>IT Architecture</w:t>
            </w:r>
          </w:p>
        </w:tc>
        <w:tc>
          <w:tcPr>
            <w:tcW w:type="dxa" w:w="1728"/>
          </w:tcPr>
          <w:p>
            <w:r>
              <w:rPr>
                <w:sz w:val="20"/>
              </w:rPr>
              <w:t>Acquired by SAP (2023)</w:t>
            </w:r>
          </w:p>
        </w:tc>
        <w:tc>
          <w:tcPr>
            <w:tcW w:type="dxa" w:w="1728"/>
          </w:tcPr>
          <w:p>
            <w:r>
              <w:rPr>
                <w:sz w:val="20"/>
              </w:rPr>
              <w:t>Enterprise architecture intelligence</w:t>
            </w:r>
          </w:p>
        </w:tc>
        <w:tc>
          <w:tcPr>
            <w:tcW w:type="dxa" w:w="1728"/>
          </w:tcPr>
          <w:p>
            <w:r>
              <w:rPr>
                <w:sz w:val="20"/>
              </w:rPr>
              <w:t>Native SAP integration</w:t>
            </w:r>
          </w:p>
        </w:tc>
      </w:tr>
      <w:tr>
        <w:tc>
          <w:tcPr>
            <w:tcW w:type="dxa" w:w="1728"/>
          </w:tcPr>
          <w:p>
            <w:r>
              <w:rPr>
                <w:sz w:val="20"/>
              </w:rPr>
              <w:t>Catena-X</w:t>
            </w:r>
          </w:p>
        </w:tc>
        <w:tc>
          <w:tcPr>
            <w:tcW w:type="dxa" w:w="1728"/>
          </w:tcPr>
          <w:p>
            <w:r>
              <w:rPr>
                <w:sz w:val="20"/>
              </w:rPr>
              <w:t>Automotive Data Platform</w:t>
            </w:r>
          </w:p>
        </w:tc>
        <w:tc>
          <w:tcPr>
            <w:tcW w:type="dxa" w:w="1728"/>
          </w:tcPr>
          <w:p>
            <w:r>
              <w:rPr>
                <w:sz w:val="20"/>
              </w:rPr>
              <w:t>Industry consortium</w:t>
            </w:r>
          </w:p>
        </w:tc>
        <w:tc>
          <w:tcPr>
            <w:tcW w:type="dxa" w:w="1728"/>
          </w:tcPr>
          <w:p>
            <w:r>
              <w:rPr>
                <w:sz w:val="20"/>
              </w:rPr>
              <w:t>VW, BMW, Ford, Mercedes as members</w:t>
            </w:r>
          </w:p>
        </w:tc>
        <w:tc>
          <w:tcPr>
            <w:tcW w:type="dxa" w:w="1728"/>
          </w:tcPr>
          <w:p>
            <w:r>
              <w:rPr>
                <w:sz w:val="20"/>
              </w:rPr>
              <w:t>SAP Quality Management integration</w:t>
            </w:r>
          </w:p>
        </w:tc>
      </w:tr>
    </w:tbl>
    <w:p/>
    <w:p>
      <w:pPr>
        <w:pStyle w:val="Heading2"/>
      </w:pPr>
      <w:r>
        <w:t>Automaker Internal Initiatives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OEM</w:t>
            </w:r>
          </w:p>
        </w:tc>
        <w:tc>
          <w:tcPr>
            <w:tcW w:type="dxa" w:w="2160"/>
            <w:shd w:val="clear" w:color="auto" w:fill="1B3A5C"/>
          </w:tcPr>
          <w:p>
            <w:r>
              <w:rPr>
                <w:b/>
                <w:color w:val="FFFFFF"/>
                <w:sz w:val="20"/>
              </w:rPr>
              <w:t>AI Investment</w:t>
            </w:r>
          </w:p>
        </w:tc>
        <w:tc>
          <w:tcPr>
            <w:tcW w:type="dxa" w:w="2160"/>
            <w:shd w:val="clear" w:color="auto" w:fill="1B3A5C"/>
          </w:tcPr>
          <w:p>
            <w:r>
              <w:rPr>
                <w:b/>
                <w:color w:val="FFFFFF"/>
                <w:sz w:val="20"/>
              </w:rPr>
              <w:t>SAP Strategy</w:t>
            </w:r>
          </w:p>
        </w:tc>
        <w:tc>
          <w:tcPr>
            <w:tcW w:type="dxa" w:w="2160"/>
            <w:shd w:val="clear" w:color="auto" w:fill="1B3A5C"/>
          </w:tcPr>
          <w:p>
            <w:r>
              <w:rPr>
                <w:b/>
                <w:color w:val="FFFFFF"/>
                <w:sz w:val="20"/>
              </w:rPr>
              <w:t>Key Initiative</w:t>
            </w:r>
          </w:p>
        </w:tc>
      </w:tr>
      <w:tr>
        <w:tc>
          <w:tcPr>
            <w:tcW w:type="dxa" w:w="2160"/>
          </w:tcPr>
          <w:p>
            <w:r>
              <w:rPr>
                <w:sz w:val="20"/>
              </w:rPr>
              <w:t>Volkswagen</w:t>
            </w:r>
          </w:p>
        </w:tc>
        <w:tc>
          <w:tcPr>
            <w:tcW w:type="dxa" w:w="2160"/>
          </w:tcPr>
          <w:p>
            <w:r>
              <w:rPr>
                <w:sz w:val="20"/>
              </w:rPr>
              <w:t>€1B by 2030</w:t>
            </w:r>
          </w:p>
        </w:tc>
        <w:tc>
          <w:tcPr>
            <w:tcW w:type="dxa" w:w="2160"/>
          </w:tcPr>
          <w:p>
            <w:r>
              <w:rPr>
                <w:sz w:val="20"/>
              </w:rPr>
              <w:t>SAP + AWS cloud</w:t>
            </w:r>
          </w:p>
        </w:tc>
        <w:tc>
          <w:tcPr>
            <w:tcW w:type="dxa" w:w="2160"/>
          </w:tcPr>
          <w:p>
            <w:r>
              <w:rPr>
                <w:sz w:val="20"/>
              </w:rPr>
              <w:t>"No process without AI" — 130K employees trained</w:t>
            </w:r>
          </w:p>
        </w:tc>
      </w:tr>
      <w:tr>
        <w:tc>
          <w:tcPr>
            <w:tcW w:type="dxa" w:w="2160"/>
          </w:tcPr>
          <w:p>
            <w:r>
              <w:rPr>
                <w:sz w:val="20"/>
              </w:rPr>
              <w:t>BMW</w:t>
            </w:r>
          </w:p>
        </w:tc>
        <w:tc>
          <w:tcPr>
            <w:tcW w:type="dxa" w:w="2160"/>
          </w:tcPr>
          <w:p>
            <w:r>
              <w:rPr>
                <w:sz w:val="20"/>
              </w:rPr>
              <w:t>Undisclosed</w:t>
            </w:r>
          </w:p>
        </w:tc>
        <w:tc>
          <w:tcPr>
            <w:tcW w:type="dxa" w:w="2160"/>
          </w:tcPr>
          <w:p>
            <w:r>
              <w:rPr>
                <w:sz w:val="20"/>
              </w:rPr>
              <w:t>S/4HANA (iFactory Oxford)</w:t>
            </w:r>
          </w:p>
        </w:tc>
        <w:tc>
          <w:tcPr>
            <w:tcW w:type="dxa" w:w="2160"/>
          </w:tcPr>
          <w:p>
            <w:r>
              <w:rPr>
                <w:sz w:val="20"/>
              </w:rPr>
              <w:t>30+ year SAP partnership, Catena-X QM</w:t>
            </w:r>
          </w:p>
        </w:tc>
      </w:tr>
      <w:tr>
        <w:tc>
          <w:tcPr>
            <w:tcW w:type="dxa" w:w="2160"/>
          </w:tcPr>
          <w:p>
            <w:r>
              <w:rPr>
                <w:sz w:val="20"/>
              </w:rPr>
              <w:t>Toyota</w:t>
            </w:r>
          </w:p>
        </w:tc>
        <w:tc>
          <w:tcPr>
            <w:tcW w:type="dxa" w:w="2160"/>
          </w:tcPr>
          <w:p>
            <w:r>
              <w:rPr>
                <w:sz w:val="20"/>
              </w:rPr>
              <w:t>GAIA accelerator</w:t>
            </w:r>
          </w:p>
        </w:tc>
        <w:tc>
          <w:tcPr>
            <w:tcW w:type="dxa" w:w="2160"/>
          </w:tcPr>
          <w:p>
            <w:r>
              <w:rPr>
                <w:sz w:val="20"/>
              </w:rPr>
              <w:t>S/4HANA migration (global)</w:t>
            </w:r>
          </w:p>
        </w:tc>
        <w:tc>
          <w:tcPr>
            <w:tcW w:type="dxa" w:w="2160"/>
          </w:tcPr>
          <w:p>
            <w:r>
              <w:rPr>
                <w:sz w:val="20"/>
              </w:rPr>
              <w:t>10,000 hrs/year savings target</w:t>
            </w:r>
          </w:p>
        </w:tc>
      </w:tr>
      <w:tr>
        <w:tc>
          <w:tcPr>
            <w:tcW w:type="dxa" w:w="2160"/>
          </w:tcPr>
          <w:p>
            <w:r>
              <w:rPr>
                <w:sz w:val="20"/>
              </w:rPr>
              <w:t>Hyundai/Kia</w:t>
            </w:r>
          </w:p>
        </w:tc>
        <w:tc>
          <w:tcPr>
            <w:tcW w:type="dxa" w:w="2160"/>
          </w:tcPr>
          <w:p>
            <w:r>
              <w:rPr>
                <w:sz w:val="20"/>
              </w:rPr>
              <w:t>Software-Defined Factories</w:t>
            </w:r>
          </w:p>
        </w:tc>
        <w:tc>
          <w:tcPr>
            <w:tcW w:type="dxa" w:w="2160"/>
          </w:tcPr>
          <w:p>
            <w:r>
              <w:rPr>
                <w:sz w:val="20"/>
              </w:rPr>
              <w:t>RISE with SAP</w:t>
            </w:r>
          </w:p>
        </w:tc>
        <w:tc>
          <w:tcPr>
            <w:tcW w:type="dxa" w:w="2160"/>
          </w:tcPr>
          <w:p>
            <w:r>
              <w:rPr>
                <w:sz w:val="20"/>
              </w:rPr>
              <w:t>AI + digital twins, 10-model flexible lines</w:t>
            </w:r>
          </w:p>
        </w:tc>
      </w:tr>
      <w:tr>
        <w:tc>
          <w:tcPr>
            <w:tcW w:type="dxa" w:w="2160"/>
          </w:tcPr>
          <w:p>
            <w:r>
              <w:rPr>
                <w:sz w:val="20"/>
              </w:rPr>
              <w:t>Ford</w:t>
            </w:r>
          </w:p>
        </w:tc>
        <w:tc>
          <w:tcPr>
            <w:tcW w:type="dxa" w:w="2160"/>
          </w:tcPr>
          <w:p>
            <w:r>
              <w:rPr>
                <w:sz w:val="20"/>
              </w:rPr>
              <w:t>Multi-year program</w:t>
            </w:r>
          </w:p>
        </w:tc>
        <w:tc>
          <w:tcPr>
            <w:tcW w:type="dxa" w:w="2160"/>
          </w:tcPr>
          <w:p>
            <w:r>
              <w:rPr>
                <w:sz w:val="20"/>
              </w:rPr>
              <w:t>SAP SPM platform</w:t>
            </w:r>
          </w:p>
        </w:tc>
        <w:tc>
          <w:tcPr>
            <w:tcW w:type="dxa" w:w="2160"/>
          </w:tcPr>
          <w:p>
            <w:r>
              <w:rPr>
                <w:sz w:val="20"/>
              </w:rPr>
              <w:t>Replaced 30-year legacy systems</w:t>
            </w:r>
          </w:p>
        </w:tc>
      </w:tr>
    </w:tbl>
    <w:p/>
    <w:p>
      <w:r>
        <w:br w:type="page"/>
      </w:r>
    </w:p>
    <w:p>
      <w:pPr>
        <w:pStyle w:val="Heading1"/>
      </w:pPr>
      <w:r>
        <w:t>8. Operational Playbook — Building AI-Native SAP Integration</w:t>
      </w:r>
    </w:p>
    <w:p>
      <w:pPr>
        <w:pStyle w:val="Heading2"/>
      </w:pPr>
      <w:r>
        <w:t>Architecture: 4-Layer AI+SAP Stack</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Layer</w:t>
            </w:r>
          </w:p>
        </w:tc>
        <w:tc>
          <w:tcPr>
            <w:tcW w:type="dxa" w:w="2160"/>
            <w:shd w:val="clear" w:color="auto" w:fill="1B3A5C"/>
          </w:tcPr>
          <w:p>
            <w:r>
              <w:rPr>
                <w:b/>
                <w:color w:val="FFFFFF"/>
                <w:sz w:val="20"/>
              </w:rPr>
              <w:t>Component</w:t>
            </w:r>
          </w:p>
        </w:tc>
        <w:tc>
          <w:tcPr>
            <w:tcW w:type="dxa" w:w="2160"/>
            <w:shd w:val="clear" w:color="auto" w:fill="1B3A5C"/>
          </w:tcPr>
          <w:p>
            <w:r>
              <w:rPr>
                <w:b/>
                <w:color w:val="FFFFFF"/>
                <w:sz w:val="20"/>
              </w:rPr>
              <w:t>Technology</w:t>
            </w:r>
          </w:p>
        </w:tc>
        <w:tc>
          <w:tcPr>
            <w:tcW w:type="dxa" w:w="2160"/>
            <w:shd w:val="clear" w:color="auto" w:fill="1B3A5C"/>
          </w:tcPr>
          <w:p>
            <w:r>
              <w:rPr>
                <w:b/>
                <w:color w:val="FFFFFF"/>
                <w:sz w:val="20"/>
              </w:rPr>
              <w:t>Purpose</w:t>
            </w:r>
          </w:p>
        </w:tc>
      </w:tr>
      <w:tr>
        <w:tc>
          <w:tcPr>
            <w:tcW w:type="dxa" w:w="2160"/>
          </w:tcPr>
          <w:p>
            <w:r>
              <w:rPr>
                <w:sz w:val="20"/>
              </w:rPr>
              <w:t>1. Data</w:t>
            </w:r>
          </w:p>
        </w:tc>
        <w:tc>
          <w:tcPr>
            <w:tcW w:type="dxa" w:w="2160"/>
          </w:tcPr>
          <w:p>
            <w:r>
              <w:rPr>
                <w:sz w:val="20"/>
              </w:rPr>
              <w:t>SAP S/4HANA + HANA Cloud</w:t>
            </w:r>
          </w:p>
        </w:tc>
        <w:tc>
          <w:tcPr>
            <w:tcW w:type="dxa" w:w="2160"/>
          </w:tcPr>
          <w:p>
            <w:r>
              <w:rPr>
                <w:sz w:val="20"/>
              </w:rPr>
              <w:t>OData V2/V4 APIs</w:t>
            </w:r>
          </w:p>
        </w:tc>
        <w:tc>
          <w:tcPr>
            <w:tcW w:type="dxa" w:w="2160"/>
          </w:tcPr>
          <w:p>
            <w:r>
              <w:rPr>
                <w:sz w:val="20"/>
              </w:rPr>
              <w:t>Single source of truth</w:t>
            </w:r>
          </w:p>
        </w:tc>
      </w:tr>
      <w:tr>
        <w:tc>
          <w:tcPr>
            <w:tcW w:type="dxa" w:w="2160"/>
          </w:tcPr>
          <w:p>
            <w:r>
              <w:rPr>
                <w:sz w:val="20"/>
              </w:rPr>
              <w:t>2. Integration</w:t>
            </w:r>
          </w:p>
        </w:tc>
        <w:tc>
          <w:tcPr>
            <w:tcW w:type="dxa" w:w="2160"/>
          </w:tcPr>
          <w:p>
            <w:r>
              <w:rPr>
                <w:sz w:val="20"/>
              </w:rPr>
              <w:t>OData-MCP Bridge</w:t>
            </w:r>
          </w:p>
        </w:tc>
        <w:tc>
          <w:tcPr>
            <w:tcW w:type="dxa" w:w="2160"/>
          </w:tcPr>
          <w:p>
            <w:r>
              <w:rPr>
                <w:sz w:val="20"/>
              </w:rPr>
              <w:t>BTP CloudFoundry + MCP Protocol</w:t>
            </w:r>
          </w:p>
        </w:tc>
        <w:tc>
          <w:tcPr>
            <w:tcW w:type="dxa" w:w="2160"/>
          </w:tcPr>
          <w:p>
            <w:r>
              <w:rPr>
                <w:sz w:val="20"/>
              </w:rPr>
              <w:t>Expose SAP services to AI</w:t>
            </w:r>
          </w:p>
        </w:tc>
      </w:tr>
      <w:tr>
        <w:tc>
          <w:tcPr>
            <w:tcW w:type="dxa" w:w="2160"/>
          </w:tcPr>
          <w:p>
            <w:r>
              <w:rPr>
                <w:sz w:val="20"/>
              </w:rPr>
              <w:t>3. Intelligence</w:t>
            </w:r>
          </w:p>
        </w:tc>
        <w:tc>
          <w:tcPr>
            <w:tcW w:type="dxa" w:w="2160"/>
          </w:tcPr>
          <w:p>
            <w:r>
              <w:rPr>
                <w:sz w:val="20"/>
              </w:rPr>
              <w:t>AI Agent Framework</w:t>
            </w:r>
          </w:p>
        </w:tc>
        <w:tc>
          <w:tcPr>
            <w:tcW w:type="dxa" w:w="2160"/>
          </w:tcPr>
          <w:p>
            <w:r>
              <w:rPr>
                <w:sz w:val="20"/>
              </w:rPr>
              <w:t>Claude/GPT + Joule Studio</w:t>
            </w:r>
          </w:p>
        </w:tc>
        <w:tc>
          <w:tcPr>
            <w:tcW w:type="dxa" w:w="2160"/>
          </w:tcPr>
          <w:p>
            <w:r>
              <w:rPr>
                <w:sz w:val="20"/>
              </w:rPr>
              <w:t>Reason, plan, execute</w:t>
            </w:r>
          </w:p>
        </w:tc>
      </w:tr>
      <w:tr>
        <w:tc>
          <w:tcPr>
            <w:tcW w:type="dxa" w:w="2160"/>
          </w:tcPr>
          <w:p>
            <w:r>
              <w:rPr>
                <w:sz w:val="20"/>
              </w:rPr>
              <w:t>4. Orchestration</w:t>
            </w:r>
          </w:p>
        </w:tc>
        <w:tc>
          <w:tcPr>
            <w:tcW w:type="dxa" w:w="2160"/>
          </w:tcPr>
          <w:p>
            <w:r>
              <w:rPr>
                <w:sz w:val="20"/>
              </w:rPr>
              <w:t>Multi-Agent System</w:t>
            </w:r>
          </w:p>
        </w:tc>
        <w:tc>
          <w:tcPr>
            <w:tcW w:type="dxa" w:w="2160"/>
          </w:tcPr>
          <w:p>
            <w:r>
              <w:rPr>
                <w:sz w:val="20"/>
              </w:rPr>
              <w:t>SAP Integration Suite + Workato</w:t>
            </w:r>
          </w:p>
        </w:tc>
        <w:tc>
          <w:tcPr>
            <w:tcW w:type="dxa" w:w="2160"/>
          </w:tcPr>
          <w:p>
            <w:r>
              <w:rPr>
                <w:sz w:val="20"/>
              </w:rPr>
              <w:t>Cross-system workflows</w:t>
            </w:r>
          </w:p>
        </w:tc>
      </w:tr>
    </w:tbl>
    <w:p/>
    <w:p>
      <w:pPr>
        <w:pStyle w:val="Heading2"/>
      </w:pPr>
      <w:r>
        <w:t>Implementation Phases</w:t>
      </w:r>
    </w:p>
    <w:p>
      <w:pPr>
        <w:pStyle w:val="Heading3"/>
      </w:pPr>
      <w:r>
        <w:t>Phase 1: Read-Only Intelligence (Months 1-3)</w:t>
      </w:r>
    </w:p>
    <w:p>
      <w:pPr>
        <w:pStyle w:val="ListBullet"/>
      </w:pPr>
      <w:r>
        <w:rPr>
          <w:b/>
        </w:rPr>
        <w:t>Scope:</w:t>
      </w:r>
      <w:r>
        <w:t xml:space="preserve"> Deploy OData-MCP bridge for procurement (MM) and quality (QM) modules</w:t>
      </w:r>
    </w:p>
    <w:p>
      <w:pPr>
        <w:pStyle w:val="ListBullet"/>
      </w:pPr>
      <w:r>
        <w:rPr>
          <w:b/>
        </w:rPr>
        <w:t>Use Case:</w:t>
      </w:r>
      <w:r>
        <w:t xml:space="preserve"> AI agent answers questions about PO status, inventory levels, quality metrics</w:t>
      </w:r>
    </w:p>
    <w:p>
      <w:pPr>
        <w:pStyle w:val="ListBullet"/>
      </w:pPr>
      <w:r>
        <w:rPr>
          <w:b/>
        </w:rPr>
        <w:t>Success Metric:</w:t>
      </w:r>
      <w:r>
        <w:t xml:space="preserve"> Reduction in ad-hoc SAP report generation requests</w:t>
      </w:r>
    </w:p>
    <w:p>
      <w:pPr>
        <w:pStyle w:val="Heading3"/>
      </w:pPr>
      <w:r>
        <w:t>Phase 2: Guided Actions (Months 4-8)</w:t>
      </w:r>
    </w:p>
    <w:p>
      <w:pPr>
        <w:pStyle w:val="ListBullet"/>
      </w:pPr>
      <w:r>
        <w:rPr>
          <w:b/>
        </w:rPr>
        <w:t>Scope:</w:t>
      </w:r>
      <w:r>
        <w:t xml:space="preserve"> Enable write-back for non-critical transactions (reservation creation, info record updates)</w:t>
      </w:r>
    </w:p>
    <w:p>
      <w:pPr>
        <w:pStyle w:val="ListBullet"/>
      </w:pPr>
      <w:r>
        <w:rPr>
          <w:b/>
        </w:rPr>
        <w:t>Use Case:</w:t>
      </w:r>
      <w:r>
        <w:t xml:space="preserve"> AI suggests production order changes, human approves via mobile</w:t>
      </w:r>
    </w:p>
    <w:p>
      <w:pPr>
        <w:pStyle w:val="ListBullet"/>
      </w:pPr>
      <w:r>
        <w:rPr>
          <w:b/>
        </w:rPr>
        <w:t>Success Metric:</w:t>
      </w:r>
      <w:r>
        <w:t xml:space="preserve"> Time-to-action reduction for routine SAP transactions</w:t>
      </w:r>
    </w:p>
    <w:p>
      <w:pPr>
        <w:pStyle w:val="Heading3"/>
      </w:pPr>
      <w:r>
        <w:t>Phase 3: Autonomous Operations (Months 9-18)</w:t>
      </w:r>
    </w:p>
    <w:p>
      <w:pPr>
        <w:pStyle w:val="ListBullet"/>
      </w:pPr>
      <w:r>
        <w:rPr>
          <w:b/>
        </w:rPr>
        <w:t>Scope:</w:t>
      </w:r>
      <w:r>
        <w:t xml:space="preserve"> AI agents autonomously handle routine procurement, scheduling, and quality notifications</w:t>
      </w:r>
    </w:p>
    <w:p>
      <w:pPr>
        <w:pStyle w:val="ListBullet"/>
      </w:pPr>
      <w:r>
        <w:rPr>
          <w:b/>
        </w:rPr>
        <w:t>Use Case:</w:t>
      </w:r>
      <w:r>
        <w:t xml:space="preserve"> Production Planning Agent validates material availability and releases orders</w:t>
      </w:r>
    </w:p>
    <w:p>
      <w:pPr>
        <w:pStyle w:val="ListBullet"/>
      </w:pPr>
      <w:r>
        <w:rPr>
          <w:b/>
        </w:rPr>
        <w:t>Success Metric:</w:t>
      </w:r>
      <w:r>
        <w:t xml:space="preserve"> Hours of manual SAP operations eliminated per quarter</w:t>
      </w:r>
    </w:p>
    <w:p>
      <w:r>
        <w:br w:type="page"/>
      </w:r>
    </w:p>
    <w:p>
      <w:pPr>
        <w:pStyle w:val="Heading1"/>
      </w:pPr>
      <w:r>
        <w:t>9. Unit Economics — AI vs Traditional Integration</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Metric</w:t>
            </w:r>
          </w:p>
        </w:tc>
        <w:tc>
          <w:tcPr>
            <w:tcW w:type="dxa" w:w="2160"/>
            <w:shd w:val="clear" w:color="auto" w:fill="1B3A5C"/>
          </w:tcPr>
          <w:p>
            <w:r>
              <w:rPr>
                <w:b/>
                <w:color w:val="FFFFFF"/>
                <w:sz w:val="20"/>
              </w:rPr>
              <w:t>Traditional (ABAP/Middleware)</w:t>
            </w:r>
          </w:p>
        </w:tc>
        <w:tc>
          <w:tcPr>
            <w:tcW w:type="dxa" w:w="2160"/>
            <w:shd w:val="clear" w:color="auto" w:fill="1B3A5C"/>
          </w:tcPr>
          <w:p>
            <w:r>
              <w:rPr>
                <w:b/>
                <w:color w:val="FFFFFF"/>
                <w:sz w:val="20"/>
              </w:rPr>
              <w:t>AI-Native (OData+Agent)</w:t>
            </w:r>
          </w:p>
        </w:tc>
        <w:tc>
          <w:tcPr>
            <w:tcW w:type="dxa" w:w="2160"/>
            <w:shd w:val="clear" w:color="auto" w:fill="1B3A5C"/>
          </w:tcPr>
          <w:p>
            <w:r>
              <w:rPr>
                <w:b/>
                <w:color w:val="FFFFFF"/>
                <w:sz w:val="20"/>
              </w:rPr>
              <w:t>Delta</w:t>
            </w:r>
          </w:p>
        </w:tc>
      </w:tr>
      <w:tr>
        <w:tc>
          <w:tcPr>
            <w:tcW w:type="dxa" w:w="2160"/>
          </w:tcPr>
          <w:p>
            <w:r>
              <w:rPr>
                <w:sz w:val="20"/>
              </w:rPr>
              <w:t>Development time per integration</w:t>
            </w:r>
          </w:p>
        </w:tc>
        <w:tc>
          <w:tcPr>
            <w:tcW w:type="dxa" w:w="2160"/>
          </w:tcPr>
          <w:p>
            <w:r>
              <w:rPr>
                <w:sz w:val="20"/>
              </w:rPr>
              <w:t>3-6 months</w:t>
            </w:r>
          </w:p>
        </w:tc>
        <w:tc>
          <w:tcPr>
            <w:tcW w:type="dxa" w:w="2160"/>
          </w:tcPr>
          <w:p>
            <w:r>
              <w:rPr>
                <w:sz w:val="20"/>
              </w:rPr>
              <w:t>1-4 weeks</w:t>
            </w:r>
          </w:p>
        </w:tc>
        <w:tc>
          <w:tcPr>
            <w:tcW w:type="dxa" w:w="2160"/>
          </w:tcPr>
          <w:p>
            <w:r>
              <w:rPr>
                <w:sz w:val="20"/>
              </w:rPr>
              <w:t>75-90% faster</w:t>
            </w:r>
          </w:p>
        </w:tc>
      </w:tr>
      <w:tr>
        <w:tc>
          <w:tcPr>
            <w:tcW w:type="dxa" w:w="2160"/>
          </w:tcPr>
          <w:p>
            <w:r>
              <w:rPr>
                <w:sz w:val="20"/>
              </w:rPr>
              <w:t>Developer cost per integration</w:t>
            </w:r>
          </w:p>
        </w:tc>
        <w:tc>
          <w:tcPr>
            <w:tcW w:type="dxa" w:w="2160"/>
          </w:tcPr>
          <w:p>
            <w:r>
              <w:rPr>
                <w:sz w:val="20"/>
              </w:rPr>
              <w:t>$150K-$500K</w:t>
            </w:r>
          </w:p>
        </w:tc>
        <w:tc>
          <w:tcPr>
            <w:tcW w:type="dxa" w:w="2160"/>
          </w:tcPr>
          <w:p>
            <w:r>
              <w:rPr>
                <w:sz w:val="20"/>
              </w:rPr>
              <w:t>$20K-$80K</w:t>
            </w:r>
          </w:p>
        </w:tc>
        <w:tc>
          <w:tcPr>
            <w:tcW w:type="dxa" w:w="2160"/>
          </w:tcPr>
          <w:p>
            <w:r>
              <w:rPr>
                <w:sz w:val="20"/>
              </w:rPr>
              <w:t>70-85% cheaper</w:t>
            </w:r>
          </w:p>
        </w:tc>
      </w:tr>
      <w:tr>
        <w:tc>
          <w:tcPr>
            <w:tcW w:type="dxa" w:w="2160"/>
          </w:tcPr>
          <w:p>
            <w:r>
              <w:rPr>
                <w:sz w:val="20"/>
              </w:rPr>
              <w:t>Ongoing maintenance (annual)</w:t>
            </w:r>
          </w:p>
        </w:tc>
        <w:tc>
          <w:tcPr>
            <w:tcW w:type="dxa" w:w="2160"/>
          </w:tcPr>
          <w:p>
            <w:r>
              <w:rPr>
                <w:sz w:val="20"/>
              </w:rPr>
              <w:t>$50K-$150K per integration</w:t>
            </w:r>
          </w:p>
        </w:tc>
        <w:tc>
          <w:tcPr>
            <w:tcW w:type="dxa" w:w="2160"/>
          </w:tcPr>
          <w:p>
            <w:r>
              <w:rPr>
                <w:sz w:val="20"/>
              </w:rPr>
              <w:t>$5K-$20K</w:t>
            </w:r>
          </w:p>
        </w:tc>
        <w:tc>
          <w:tcPr>
            <w:tcW w:type="dxa" w:w="2160"/>
          </w:tcPr>
          <w:p>
            <w:r>
              <w:rPr>
                <w:sz w:val="20"/>
              </w:rPr>
              <w:t>80-90% reduction</w:t>
            </w:r>
          </w:p>
        </w:tc>
      </w:tr>
      <w:tr>
        <w:tc>
          <w:tcPr>
            <w:tcW w:type="dxa" w:w="2160"/>
          </w:tcPr>
          <w:p>
            <w:r>
              <w:rPr>
                <w:sz w:val="20"/>
              </w:rPr>
              <w:t>Time to modify business logic</w:t>
            </w:r>
          </w:p>
        </w:tc>
        <w:tc>
          <w:tcPr>
            <w:tcW w:type="dxa" w:w="2160"/>
          </w:tcPr>
          <w:p>
            <w:r>
              <w:rPr>
                <w:sz w:val="20"/>
              </w:rPr>
              <w:t>2-8 weeks (change request cycle)</w:t>
            </w:r>
          </w:p>
        </w:tc>
        <w:tc>
          <w:tcPr>
            <w:tcW w:type="dxa" w:w="2160"/>
          </w:tcPr>
          <w:p>
            <w:r>
              <w:rPr>
                <w:sz w:val="20"/>
              </w:rPr>
              <w:t>Hours (prompt update)</w:t>
            </w:r>
          </w:p>
        </w:tc>
        <w:tc>
          <w:tcPr>
            <w:tcW w:type="dxa" w:w="2160"/>
          </w:tcPr>
          <w:p>
            <w:r>
              <w:rPr>
                <w:sz w:val="20"/>
              </w:rPr>
              <w:t>95%+ faster</w:t>
            </w:r>
          </w:p>
        </w:tc>
      </w:tr>
      <w:tr>
        <w:tc>
          <w:tcPr>
            <w:tcW w:type="dxa" w:w="2160"/>
          </w:tcPr>
          <w:p>
            <w:r>
              <w:rPr>
                <w:sz w:val="20"/>
              </w:rPr>
              <w:t>SAP upgrade impact</w:t>
            </w:r>
          </w:p>
        </w:tc>
        <w:tc>
          <w:tcPr>
            <w:tcW w:type="dxa" w:w="2160"/>
          </w:tcPr>
          <w:p>
            <w:r>
              <w:rPr>
                <w:sz w:val="20"/>
              </w:rPr>
              <w:t>High — custom code migration</w:t>
            </w:r>
          </w:p>
        </w:tc>
        <w:tc>
          <w:tcPr>
            <w:tcW w:type="dxa" w:w="2160"/>
          </w:tcPr>
          <w:p>
            <w:r>
              <w:rPr>
                <w:sz w:val="20"/>
              </w:rPr>
              <w:t>Low — OData contract stable</w:t>
            </w:r>
          </w:p>
        </w:tc>
        <w:tc>
          <w:tcPr>
            <w:tcW w:type="dxa" w:w="2160"/>
          </w:tcPr>
          <w:p>
            <w:r>
              <w:rPr>
                <w:sz w:val="20"/>
              </w:rPr>
              <w:t>Minimal disruption</w:t>
            </w:r>
          </w:p>
        </w:tc>
      </w:tr>
      <w:tr>
        <w:tc>
          <w:tcPr>
            <w:tcW w:type="dxa" w:w="2160"/>
          </w:tcPr>
          <w:p>
            <w:r>
              <w:rPr>
                <w:sz w:val="20"/>
              </w:rPr>
              <w:t>Scalability</w:t>
            </w:r>
          </w:p>
        </w:tc>
        <w:tc>
          <w:tcPr>
            <w:tcW w:type="dxa" w:w="2160"/>
          </w:tcPr>
          <w:p>
            <w:r>
              <w:rPr>
                <w:sz w:val="20"/>
              </w:rPr>
              <w:t>Linear (more devs = more integrations)</w:t>
            </w:r>
          </w:p>
        </w:tc>
        <w:tc>
          <w:tcPr>
            <w:tcW w:type="dxa" w:w="2160"/>
          </w:tcPr>
          <w:p>
            <w:r>
              <w:rPr>
                <w:sz w:val="20"/>
              </w:rPr>
              <w:t>Exponential (one agent, many tasks)</w:t>
            </w:r>
          </w:p>
        </w:tc>
        <w:tc>
          <w:tcPr>
            <w:tcW w:type="dxa" w:w="2160"/>
          </w:tcPr>
          <w:p>
            <w:r>
              <w:rPr>
                <w:sz w:val="20"/>
              </w:rPr>
              <w:t>Step change</w:t>
            </w:r>
          </w:p>
        </w:tc>
      </w:tr>
    </w:tbl>
    <w:p/>
    <w:p>
      <w:pPr>
        <w:pStyle w:val="Heading2"/>
      </w:pPr>
      <w:r>
        <w:t>Cost Model: TMNA Scale</w:t>
      </w:r>
    </w:p>
    <w:p>
      <w:r>
        <w:t>Assuming TMNA has 200+ SAP integrations across its North American operations: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Cost Category</w:t>
            </w:r>
          </w:p>
        </w:tc>
        <w:tc>
          <w:tcPr>
            <w:tcW w:type="dxa" w:w="2160"/>
            <w:shd w:val="clear" w:color="auto" w:fill="1B3A5C"/>
          </w:tcPr>
          <w:p>
            <w:r>
              <w:rPr>
                <w:b/>
                <w:color w:val="FFFFFF"/>
                <w:sz w:val="20"/>
              </w:rPr>
              <w:t>Current (estimated)</w:t>
            </w:r>
          </w:p>
        </w:tc>
        <w:tc>
          <w:tcPr>
            <w:tcW w:type="dxa" w:w="2160"/>
            <w:shd w:val="clear" w:color="auto" w:fill="1B3A5C"/>
          </w:tcPr>
          <w:p>
            <w:r>
              <w:rPr>
                <w:b/>
                <w:color w:val="FFFFFF"/>
                <w:sz w:val="20"/>
              </w:rPr>
              <w:t>AI-Native (projected)</w:t>
            </w:r>
          </w:p>
        </w:tc>
        <w:tc>
          <w:tcPr>
            <w:tcW w:type="dxa" w:w="2160"/>
            <w:shd w:val="clear" w:color="auto" w:fill="1B3A5C"/>
          </w:tcPr>
          <w:p>
            <w:r>
              <w:rPr>
                <w:b/>
                <w:color w:val="FFFFFF"/>
                <w:sz w:val="20"/>
              </w:rPr>
              <w:t>Annual Savings</w:t>
            </w:r>
          </w:p>
        </w:tc>
      </w:tr>
      <w:tr>
        <w:tc>
          <w:tcPr>
            <w:tcW w:type="dxa" w:w="2160"/>
          </w:tcPr>
          <w:p>
            <w:r>
              <w:rPr>
                <w:sz w:val="20"/>
              </w:rPr>
              <w:t>SAP development team</w:t>
            </w:r>
          </w:p>
        </w:tc>
        <w:tc>
          <w:tcPr>
            <w:tcW w:type="dxa" w:w="2160"/>
          </w:tcPr>
          <w:p>
            <w:r>
              <w:rPr>
                <w:sz w:val="20"/>
              </w:rPr>
              <w:t>$15-25M/year</w:t>
            </w:r>
          </w:p>
        </w:tc>
        <w:tc>
          <w:tcPr>
            <w:tcW w:type="dxa" w:w="2160"/>
          </w:tcPr>
          <w:p>
            <w:r>
              <w:rPr>
                <w:sz w:val="20"/>
              </w:rPr>
              <w:t>$5-10M/year</w:t>
            </w:r>
          </w:p>
        </w:tc>
        <w:tc>
          <w:tcPr>
            <w:tcW w:type="dxa" w:w="2160"/>
          </w:tcPr>
          <w:p>
            <w:r>
              <w:rPr>
                <w:sz w:val="20"/>
              </w:rPr>
              <w:t>$10-15M</w:t>
            </w:r>
          </w:p>
        </w:tc>
      </w:tr>
      <w:tr>
        <w:tc>
          <w:tcPr>
            <w:tcW w:type="dxa" w:w="2160"/>
          </w:tcPr>
          <w:p>
            <w:r>
              <w:rPr>
                <w:sz w:val="20"/>
              </w:rPr>
              <w:t>Middleware licensing</w:t>
            </w:r>
          </w:p>
        </w:tc>
        <w:tc>
          <w:tcPr>
            <w:tcW w:type="dxa" w:w="2160"/>
          </w:tcPr>
          <w:p>
            <w:r>
              <w:rPr>
                <w:sz w:val="20"/>
              </w:rPr>
              <w:t>$3-5M/year</w:t>
            </w:r>
          </w:p>
        </w:tc>
        <w:tc>
          <w:tcPr>
            <w:tcW w:type="dxa" w:w="2160"/>
          </w:tcPr>
          <w:p>
            <w:r>
              <w:rPr>
                <w:sz w:val="20"/>
              </w:rPr>
              <w:t>$1-2M/year</w:t>
            </w:r>
          </w:p>
        </w:tc>
        <w:tc>
          <w:tcPr>
            <w:tcW w:type="dxa" w:w="2160"/>
          </w:tcPr>
          <w:p>
            <w:r>
              <w:rPr>
                <w:sz w:val="20"/>
              </w:rPr>
              <w:t>$2-3M</w:t>
            </w:r>
          </w:p>
        </w:tc>
      </w:tr>
      <w:tr>
        <w:tc>
          <w:tcPr>
            <w:tcW w:type="dxa" w:w="2160"/>
          </w:tcPr>
          <w:p>
            <w:r>
              <w:rPr>
                <w:sz w:val="20"/>
              </w:rPr>
              <w:t>Manual data entry (FTEs)</w:t>
            </w:r>
          </w:p>
        </w:tc>
        <w:tc>
          <w:tcPr>
            <w:tcW w:type="dxa" w:w="2160"/>
          </w:tcPr>
          <w:p>
            <w:r>
              <w:rPr>
                <w:sz w:val="20"/>
              </w:rPr>
              <w:t>$8-12M/year</w:t>
            </w:r>
          </w:p>
        </w:tc>
        <w:tc>
          <w:tcPr>
            <w:tcW w:type="dxa" w:w="2160"/>
          </w:tcPr>
          <w:p>
            <w:r>
              <w:rPr>
                <w:sz w:val="20"/>
              </w:rPr>
              <w:t>$2-4M/year</w:t>
            </w:r>
          </w:p>
        </w:tc>
        <w:tc>
          <w:tcPr>
            <w:tcW w:type="dxa" w:w="2160"/>
          </w:tcPr>
          <w:p>
            <w:r>
              <w:rPr>
                <w:sz w:val="20"/>
              </w:rPr>
              <w:t>$6-8M</w:t>
            </w:r>
          </w:p>
        </w:tc>
      </w:tr>
      <w:tr>
        <w:tc>
          <w:tcPr>
            <w:tcW w:type="dxa" w:w="2160"/>
          </w:tcPr>
          <w:p>
            <w:r>
              <w:rPr>
                <w:sz w:val="20"/>
              </w:rPr>
              <w:t>Integration maintenance</w:t>
            </w:r>
          </w:p>
        </w:tc>
        <w:tc>
          <w:tcPr>
            <w:tcW w:type="dxa" w:w="2160"/>
          </w:tcPr>
          <w:p>
            <w:r>
              <w:rPr>
                <w:sz w:val="20"/>
              </w:rPr>
              <w:t>$5-8M/year</w:t>
            </w:r>
          </w:p>
        </w:tc>
        <w:tc>
          <w:tcPr>
            <w:tcW w:type="dxa" w:w="2160"/>
          </w:tcPr>
          <w:p>
            <w:r>
              <w:rPr>
                <w:sz w:val="20"/>
              </w:rPr>
              <w:t>$1-2M/year</w:t>
            </w:r>
          </w:p>
        </w:tc>
        <w:tc>
          <w:tcPr>
            <w:tcW w:type="dxa" w:w="2160"/>
          </w:tcPr>
          <w:p>
            <w:r>
              <w:rPr>
                <w:sz w:val="20"/>
              </w:rPr>
              <w:t>$4-6M</w:t>
            </w:r>
          </w:p>
        </w:tc>
      </w:tr>
      <w:tr>
        <w:tc>
          <w:tcPr>
            <w:tcW w:type="dxa" w:w="2160"/>
          </w:tcPr>
          <w:p>
            <w:r>
              <w:rPr>
                <w:sz w:val="20"/>
              </w:rPr>
              <w:t>TOTAL</w:t>
            </w:r>
          </w:p>
        </w:tc>
        <w:tc>
          <w:tcPr>
            <w:tcW w:type="dxa" w:w="2160"/>
          </w:tcPr>
          <w:p>
            <w:r>
              <w:rPr>
                <w:sz w:val="20"/>
              </w:rPr>
              <w:t>$31-50M/year</w:t>
            </w:r>
          </w:p>
        </w:tc>
        <w:tc>
          <w:tcPr>
            <w:tcW w:type="dxa" w:w="2160"/>
          </w:tcPr>
          <w:p>
            <w:r>
              <w:rPr>
                <w:sz w:val="20"/>
              </w:rPr>
              <w:t>$9-18M/year</w:t>
            </w:r>
          </w:p>
        </w:tc>
        <w:tc>
          <w:tcPr>
            <w:tcW w:type="dxa" w:w="2160"/>
          </w:tcPr>
          <w:p>
            <w:r>
              <w:rPr>
                <w:sz w:val="20"/>
              </w:rPr>
              <w:t>$22-32M/year</w:t>
            </w:r>
          </w:p>
        </w:tc>
      </w:tr>
    </w:tbl>
    <w:p/>
    <w:p>
      <w:r>
        <w:br w:type="page"/>
      </w:r>
    </w:p>
    <w:p>
      <w:pPr>
        <w:pStyle w:val="Heading1"/>
      </w:pPr>
      <w:r>
        <w:t>10. Competitive Moats &amp; Defensibility</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Moat Type</w:t>
            </w:r>
          </w:p>
        </w:tc>
        <w:tc>
          <w:tcPr>
            <w:tcW w:type="dxa" w:w="2160"/>
            <w:shd w:val="clear" w:color="auto" w:fill="1B3A5C"/>
          </w:tcPr>
          <w:p>
            <w:r>
              <w:rPr>
                <w:b/>
                <w:color w:val="FFFFFF"/>
                <w:sz w:val="20"/>
              </w:rPr>
              <w:t>Description</w:t>
            </w:r>
          </w:p>
        </w:tc>
        <w:tc>
          <w:tcPr>
            <w:tcW w:type="dxa" w:w="2160"/>
            <w:shd w:val="clear" w:color="auto" w:fill="1B3A5C"/>
          </w:tcPr>
          <w:p>
            <w:r>
              <w:rPr>
                <w:b/>
                <w:color w:val="FFFFFF"/>
                <w:sz w:val="20"/>
              </w:rPr>
              <w:t>Automotive Application</w:t>
            </w:r>
          </w:p>
        </w:tc>
        <w:tc>
          <w:tcPr>
            <w:tcW w:type="dxa" w:w="2160"/>
            <w:shd w:val="clear" w:color="auto" w:fill="1B3A5C"/>
          </w:tcPr>
          <w:p>
            <w:r>
              <w:rPr>
                <w:b/>
                <w:color w:val="FFFFFF"/>
                <w:sz w:val="20"/>
              </w:rPr>
              <w:t>Strength</w:t>
            </w:r>
          </w:p>
        </w:tc>
      </w:tr>
      <w:tr>
        <w:tc>
          <w:tcPr>
            <w:tcW w:type="dxa" w:w="2160"/>
          </w:tcPr>
          <w:p>
            <w:r>
              <w:rPr>
                <w:sz w:val="20"/>
              </w:rPr>
              <w:t>Data Moat</w:t>
            </w:r>
          </w:p>
        </w:tc>
        <w:tc>
          <w:tcPr>
            <w:tcW w:type="dxa" w:w="2160"/>
          </w:tcPr>
          <w:p>
            <w:r>
              <w:rPr>
                <w:sz w:val="20"/>
              </w:rPr>
              <w:t>Proprietary operational data from SAP transactions</w:t>
            </w:r>
          </w:p>
        </w:tc>
        <w:tc>
          <w:tcPr>
            <w:tcW w:type="dxa" w:w="2160"/>
          </w:tcPr>
          <w:p>
            <w:r>
              <w:rPr>
                <w:sz w:val="20"/>
              </w:rPr>
              <w:t>Years of procurement, quality, and production data unique to each OEM</w:t>
            </w:r>
          </w:p>
        </w:tc>
        <w:tc>
          <w:tcPr>
            <w:tcW w:type="dxa" w:w="2160"/>
          </w:tcPr>
          <w:p>
            <w:r>
              <w:rPr>
                <w:sz w:val="20"/>
              </w:rPr>
              <w:t>Very Strong</w:t>
            </w:r>
          </w:p>
        </w:tc>
      </w:tr>
      <w:tr>
        <w:tc>
          <w:tcPr>
            <w:tcW w:type="dxa" w:w="2160"/>
          </w:tcPr>
          <w:p>
            <w:r>
              <w:rPr>
                <w:sz w:val="20"/>
              </w:rPr>
              <w:t>Process Moat</w:t>
            </w:r>
          </w:p>
        </w:tc>
        <w:tc>
          <w:tcPr>
            <w:tcW w:type="dxa" w:w="2160"/>
          </w:tcPr>
          <w:p>
            <w:r>
              <w:rPr>
                <w:sz w:val="20"/>
              </w:rPr>
              <w:t>Deep understanding of automotive SAP workflows</w:t>
            </w:r>
          </w:p>
        </w:tc>
        <w:tc>
          <w:tcPr>
            <w:tcW w:type="dxa" w:w="2160"/>
          </w:tcPr>
          <w:p>
            <w:r>
              <w:rPr>
                <w:sz w:val="20"/>
              </w:rPr>
              <w:t>IATF 16949 compliance, Toyota Production System integration</w:t>
            </w:r>
          </w:p>
        </w:tc>
        <w:tc>
          <w:tcPr>
            <w:tcW w:type="dxa" w:w="2160"/>
          </w:tcPr>
          <w:p>
            <w:r>
              <w:rPr>
                <w:sz w:val="20"/>
              </w:rPr>
              <w:t>Strong</w:t>
            </w:r>
          </w:p>
        </w:tc>
      </w:tr>
      <w:tr>
        <w:tc>
          <w:tcPr>
            <w:tcW w:type="dxa" w:w="2160"/>
          </w:tcPr>
          <w:p>
            <w:r>
              <w:rPr>
                <w:sz w:val="20"/>
              </w:rPr>
              <w:t>Integration Moat</w:t>
            </w:r>
          </w:p>
        </w:tc>
        <w:tc>
          <w:tcPr>
            <w:tcW w:type="dxa" w:w="2160"/>
          </w:tcPr>
          <w:p>
            <w:r>
              <w:rPr>
                <w:sz w:val="20"/>
              </w:rPr>
              <w:t>OData API expertise + MCP bridge infrastructure</w:t>
            </w:r>
          </w:p>
        </w:tc>
        <w:tc>
          <w:tcPr>
            <w:tcW w:type="dxa" w:w="2160"/>
          </w:tcPr>
          <w:p>
            <w:r>
              <w:rPr>
                <w:sz w:val="20"/>
              </w:rPr>
              <w:t>Ability to expose and orchestrate 1000s of SAP services</w:t>
            </w:r>
          </w:p>
        </w:tc>
        <w:tc>
          <w:tcPr>
            <w:tcW w:type="dxa" w:w="2160"/>
          </w:tcPr>
          <w:p>
            <w:r>
              <w:rPr>
                <w:sz w:val="20"/>
              </w:rPr>
              <w:t>Moderate</w:t>
            </w:r>
          </w:p>
        </w:tc>
      </w:tr>
      <w:tr>
        <w:tc>
          <w:tcPr>
            <w:tcW w:type="dxa" w:w="2160"/>
          </w:tcPr>
          <w:p>
            <w:r>
              <w:rPr>
                <w:sz w:val="20"/>
              </w:rPr>
              <w:t>Domain Moat</w:t>
            </w:r>
          </w:p>
        </w:tc>
        <w:tc>
          <w:tcPr>
            <w:tcW w:type="dxa" w:w="2160"/>
          </w:tcPr>
          <w:p>
            <w:r>
              <w:rPr>
                <w:sz w:val="20"/>
              </w:rPr>
              <w:t>Automotive-specific AI models trained on SAP data</w:t>
            </w:r>
          </w:p>
        </w:tc>
        <w:tc>
          <w:tcPr>
            <w:tcW w:type="dxa" w:w="2160"/>
          </w:tcPr>
          <w:p>
            <w:r>
              <w:rPr>
                <w:sz w:val="20"/>
              </w:rPr>
              <w:t>Predictive quality, demand forecasting, JIT optimization</w:t>
            </w:r>
          </w:p>
        </w:tc>
        <w:tc>
          <w:tcPr>
            <w:tcW w:type="dxa" w:w="2160"/>
          </w:tcPr>
          <w:p>
            <w:r>
              <w:rPr>
                <w:sz w:val="20"/>
              </w:rPr>
              <w:t>Strong</w:t>
            </w:r>
          </w:p>
        </w:tc>
      </w:tr>
      <w:tr>
        <w:tc>
          <w:tcPr>
            <w:tcW w:type="dxa" w:w="2160"/>
          </w:tcPr>
          <w:p>
            <w:r>
              <w:rPr>
                <w:sz w:val="20"/>
              </w:rPr>
              <w:t>Network Moat</w:t>
            </w:r>
          </w:p>
        </w:tc>
        <w:tc>
          <w:tcPr>
            <w:tcW w:type="dxa" w:w="2160"/>
          </w:tcPr>
          <w:p>
            <w:r>
              <w:rPr>
                <w:sz w:val="20"/>
              </w:rPr>
              <w:t>Catena-X ecosystem participation</w:t>
            </w:r>
          </w:p>
        </w:tc>
        <w:tc>
          <w:tcPr>
            <w:tcW w:type="dxa" w:w="2160"/>
          </w:tcPr>
          <w:p>
            <w:r>
              <w:rPr>
                <w:sz w:val="20"/>
              </w:rPr>
              <w:t>Data exchange with suppliers via standardized automotive data space</w:t>
            </w:r>
          </w:p>
        </w:tc>
        <w:tc>
          <w:tcPr>
            <w:tcW w:type="dxa" w:w="2160"/>
          </w:tcPr>
          <w:p>
            <w:r>
              <w:rPr>
                <w:sz w:val="20"/>
              </w:rPr>
              <w:t>Growing</w:t>
            </w:r>
          </w:p>
        </w:tc>
      </w:tr>
    </w:tbl>
    <w:p/>
    <w:p>
      <w:r>
        <w:br w:type="page"/>
      </w:r>
    </w:p>
    <w:p>
      <w:pPr>
        <w:pStyle w:val="Heading1"/>
      </w:pPr>
      <w:r>
        <w:t>11. Risk Analysis — Mirage PMF &amp; Failure Modes</w:t>
      </w:r>
    </w:p>
    <w:p>
      <w:pPr>
        <w:pStyle w:val="Heading2"/>
      </w:pPr>
      <w:r>
        <w:t>Mirage PMF Risks</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1B3A5C"/>
          </w:tcPr>
          <w:p>
            <w:r>
              <w:rPr>
                <w:b/>
                <w:color w:val="FFFFFF"/>
                <w:sz w:val="20"/>
              </w:rPr>
              <w:t>Risk</w:t>
            </w:r>
          </w:p>
        </w:tc>
        <w:tc>
          <w:tcPr>
            <w:tcW w:type="dxa" w:w="2880"/>
            <w:shd w:val="clear" w:color="auto" w:fill="1B3A5C"/>
          </w:tcPr>
          <w:p>
            <w:r>
              <w:rPr>
                <w:b/>
                <w:color w:val="FFFFFF"/>
                <w:sz w:val="20"/>
              </w:rPr>
              <w:t>Description</w:t>
            </w:r>
          </w:p>
        </w:tc>
        <w:tc>
          <w:tcPr>
            <w:tcW w:type="dxa" w:w="2880"/>
            <w:shd w:val="clear" w:color="auto" w:fill="1B3A5C"/>
          </w:tcPr>
          <w:p>
            <w:r>
              <w:rPr>
                <w:b/>
                <w:color w:val="FFFFFF"/>
                <w:sz w:val="20"/>
              </w:rPr>
              <w:t>Mitigation</w:t>
            </w:r>
          </w:p>
        </w:tc>
      </w:tr>
      <w:tr>
        <w:tc>
          <w:tcPr>
            <w:tcW w:type="dxa" w:w="2880"/>
          </w:tcPr>
          <w:p>
            <w:r>
              <w:rPr>
                <w:sz w:val="20"/>
              </w:rPr>
              <w:t>Read-Only Trap</w:t>
            </w:r>
          </w:p>
        </w:tc>
        <w:tc>
          <w:tcPr>
            <w:tcW w:type="dxa" w:w="2880"/>
          </w:tcPr>
          <w:p>
            <w:r>
              <w:rPr>
                <w:sz w:val="20"/>
              </w:rPr>
              <w:t>AI reads SAP data well but cannot reliably write back; customers expect full automation</w:t>
            </w:r>
          </w:p>
        </w:tc>
        <w:tc>
          <w:tcPr>
            <w:tcW w:type="dxa" w:w="2880"/>
          </w:tcPr>
          <w:p>
            <w:r>
              <w:rPr>
                <w:sz w:val="20"/>
              </w:rPr>
              <w:t>Start with write-back from Day 1 in non-critical modules</w:t>
            </w:r>
          </w:p>
        </w:tc>
      </w:tr>
      <w:tr>
        <w:tc>
          <w:tcPr>
            <w:tcW w:type="dxa" w:w="2880"/>
          </w:tcPr>
          <w:p>
            <w:r>
              <w:rPr>
                <w:sz w:val="20"/>
              </w:rPr>
              <w:t>Demo vs Production Gap</w:t>
            </w:r>
          </w:p>
        </w:tc>
        <w:tc>
          <w:tcPr>
            <w:tcW w:type="dxa" w:w="2880"/>
          </w:tcPr>
          <w:p>
            <w:r>
              <w:rPr>
                <w:sz w:val="20"/>
              </w:rPr>
              <w:t>OData queries work in sandbox but fail against complex production configurations</w:t>
            </w:r>
          </w:p>
        </w:tc>
        <w:tc>
          <w:tcPr>
            <w:tcW w:type="dxa" w:w="2880"/>
          </w:tcPr>
          <w:p>
            <w:r>
              <w:rPr>
                <w:sz w:val="20"/>
              </w:rPr>
              <w:t>Test against production-equivalent system with real data volumes</w:t>
            </w:r>
          </w:p>
        </w:tc>
      </w:tr>
      <w:tr>
        <w:tc>
          <w:tcPr>
            <w:tcW w:type="dxa" w:w="2880"/>
          </w:tcPr>
          <w:p>
            <w:r>
              <w:rPr>
                <w:sz w:val="20"/>
              </w:rPr>
              <w:t>Authorization Complexity</w:t>
            </w:r>
          </w:p>
        </w:tc>
        <w:tc>
          <w:tcPr>
            <w:tcW w:type="dxa" w:w="2880"/>
          </w:tcPr>
          <w:p>
            <w:r>
              <w:rPr>
                <w:sz w:val="20"/>
              </w:rPr>
              <w:t>SAP PFCG roles create invisible constraints; AI agent works for admin but fails for regular users</w:t>
            </w:r>
          </w:p>
        </w:tc>
        <w:tc>
          <w:tcPr>
            <w:tcW w:type="dxa" w:w="2880"/>
          </w:tcPr>
          <w:p>
            <w:r>
              <w:rPr>
                <w:sz w:val="20"/>
              </w:rPr>
              <w:t>Map all role-based restrictions before deployment</w:t>
            </w:r>
          </w:p>
        </w:tc>
      </w:tr>
      <w:tr>
        <w:tc>
          <w:tcPr>
            <w:tcW w:type="dxa" w:w="2880"/>
          </w:tcPr>
          <w:p>
            <w:r>
              <w:rPr>
                <w:sz w:val="20"/>
              </w:rPr>
              <w:t>Transactional Consistency</w:t>
            </w:r>
          </w:p>
        </w:tc>
        <w:tc>
          <w:tcPr>
            <w:tcW w:type="dxa" w:w="2880"/>
          </w:tcPr>
          <w:p>
            <w:r>
              <w:rPr>
                <w:sz w:val="20"/>
              </w:rPr>
              <w:t>OData single-entity updates miss multi-step business processes (e.g., goods receipt + invoice verification)</w:t>
            </w:r>
          </w:p>
        </w:tc>
        <w:tc>
          <w:tcPr>
            <w:tcW w:type="dxa" w:w="2880"/>
          </w:tcPr>
          <w:p>
            <w:r>
              <w:rPr>
                <w:sz w:val="20"/>
              </w:rPr>
              <w:t>Use SAP action/function imports for complex transactions</w:t>
            </w:r>
          </w:p>
        </w:tc>
      </w:tr>
    </w:tbl>
    <w:p/>
    <w:p>
      <w:pPr>
        <w:pStyle w:val="Heading2"/>
      </w:pPr>
      <w:r>
        <w:t>Structural Failure Modes</w:t>
      </w:r>
    </w:p>
    <w:p>
      <w:pPr>
        <w:pStyle w:val="ListBullet"/>
      </w:pPr>
      <w:r>
        <w:rPr>
          <w:b/>
        </w:rPr>
        <w:t>Regulatory Rejection:</w:t>
      </w:r>
      <w:r>
        <w:t xml:space="preserve"> Automakers have strict quality standards (IATF 16949, ISO 26262). AI agents that bypass quality gates or audit trails will be rejected.</w:t>
      </w:r>
    </w:p>
    <w:p>
      <w:pPr>
        <w:pStyle w:val="ListBullet"/>
      </w:pPr>
      <w:r>
        <w:rPr>
          <w:b/>
        </w:rPr>
        <w:t>SAP Platform Risk:</w:t>
      </w:r>
      <w:r>
        <w:t xml:space="preserve"> SAP is building Joule agents natively. Third-party OData+AI solutions risk being absorbed into SAP's platform.</w:t>
      </w:r>
    </w:p>
    <w:p>
      <w:pPr>
        <w:pStyle w:val="ListBullet"/>
      </w:pPr>
      <w:r>
        <w:rPr>
          <w:b/>
        </w:rPr>
        <w:t>Cultural Resistance:</w:t>
      </w:r>
      <w:r>
        <w:t xml:space="preserve"> Toyota's Jidoka philosophy emphasizes human judgment. AI that removes humans too aggressively conflicts with corporate culture.</w:t>
      </w:r>
    </w:p>
    <w:p>
      <w:pPr>
        <w:pStyle w:val="ListBullet"/>
      </w:pPr>
      <w:r>
        <w:rPr>
          <w:b/>
        </w:rPr>
        <w:t>API Stability:</w:t>
      </w:r>
      <w:r>
        <w:t xml:space="preserve"> S/4HANA OData APIs change between releases. Agents built on specific API versions may break during upgrades.</w:t>
      </w:r>
    </w:p>
    <w:p>
      <w:r>
        <w:br w:type="page"/>
      </w:r>
    </w:p>
    <w:p>
      <w:pPr>
        <w:pStyle w:val="Heading1"/>
      </w:pPr>
      <w:r>
        <w:t>12. Strategic Framework — Build vs Buy vs Partner</w:t>
      </w:r>
    </w:p>
    <w:tbl>
      <w:tblPr>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B3A5C"/>
          </w:tcPr>
          <w:p>
            <w:r>
              <w:rPr>
                <w:b/>
                <w:color w:val="FFFFFF"/>
                <w:sz w:val="20"/>
              </w:rPr>
              <w:t>Option</w:t>
            </w:r>
          </w:p>
        </w:tc>
        <w:tc>
          <w:tcPr>
            <w:tcW w:type="dxa" w:w="1728"/>
            <w:shd w:val="clear" w:color="auto" w:fill="1B3A5C"/>
          </w:tcPr>
          <w:p>
            <w:r>
              <w:rPr>
                <w:b/>
                <w:color w:val="FFFFFF"/>
                <w:sz w:val="20"/>
              </w:rPr>
              <w:t>Approach</w:t>
            </w:r>
          </w:p>
        </w:tc>
        <w:tc>
          <w:tcPr>
            <w:tcW w:type="dxa" w:w="1728"/>
            <w:shd w:val="clear" w:color="auto" w:fill="1B3A5C"/>
          </w:tcPr>
          <w:p>
            <w:r>
              <w:rPr>
                <w:b/>
                <w:color w:val="FFFFFF"/>
                <w:sz w:val="20"/>
              </w:rPr>
              <w:t>Pros</w:t>
            </w:r>
          </w:p>
        </w:tc>
        <w:tc>
          <w:tcPr>
            <w:tcW w:type="dxa" w:w="1728"/>
            <w:shd w:val="clear" w:color="auto" w:fill="1B3A5C"/>
          </w:tcPr>
          <w:p>
            <w:r>
              <w:rPr>
                <w:b/>
                <w:color w:val="FFFFFF"/>
                <w:sz w:val="20"/>
              </w:rPr>
              <w:t>Cons</w:t>
            </w:r>
          </w:p>
        </w:tc>
        <w:tc>
          <w:tcPr>
            <w:tcW w:type="dxa" w:w="1728"/>
            <w:shd w:val="clear" w:color="auto" w:fill="1B3A5C"/>
          </w:tcPr>
          <w:p>
            <w:r>
              <w:rPr>
                <w:b/>
                <w:color w:val="FFFFFF"/>
                <w:sz w:val="20"/>
              </w:rPr>
              <w:t>Best For</w:t>
            </w:r>
          </w:p>
        </w:tc>
      </w:tr>
      <w:tr>
        <w:tc>
          <w:tcPr>
            <w:tcW w:type="dxa" w:w="1728"/>
          </w:tcPr>
          <w:p>
            <w:r>
              <w:rPr>
                <w:sz w:val="20"/>
              </w:rPr>
              <w:t>Build Internal</w:t>
            </w:r>
          </w:p>
        </w:tc>
        <w:tc>
          <w:tcPr>
            <w:tcW w:type="dxa" w:w="1728"/>
          </w:tcPr>
          <w:p>
            <w:r>
              <w:rPr>
                <w:sz w:val="20"/>
              </w:rPr>
              <w:t>TMNA builds AI+OData agents in-house</w:t>
            </w:r>
          </w:p>
        </w:tc>
        <w:tc>
          <w:tcPr>
            <w:tcW w:type="dxa" w:w="1728"/>
          </w:tcPr>
          <w:p>
            <w:r>
              <w:rPr>
                <w:sz w:val="20"/>
              </w:rPr>
              <w:t>Full control, data stays internal, aligns with TPS</w:t>
            </w:r>
          </w:p>
        </w:tc>
        <w:tc>
          <w:tcPr>
            <w:tcW w:type="dxa" w:w="1728"/>
          </w:tcPr>
          <w:p>
            <w:r>
              <w:rPr>
                <w:sz w:val="20"/>
              </w:rPr>
              <w:t>Slow, expensive, talent scarcity</w:t>
            </w:r>
          </w:p>
        </w:tc>
        <w:tc>
          <w:tcPr>
            <w:tcW w:type="dxa" w:w="1728"/>
          </w:tcPr>
          <w:p>
            <w:r>
              <w:rPr>
                <w:sz w:val="20"/>
              </w:rPr>
              <w:t>Core competitive advantage areas</w:t>
            </w:r>
          </w:p>
        </w:tc>
      </w:tr>
      <w:tr>
        <w:tc>
          <w:tcPr>
            <w:tcW w:type="dxa" w:w="1728"/>
          </w:tcPr>
          <w:p>
            <w:r>
              <w:rPr>
                <w:sz w:val="20"/>
              </w:rPr>
              <w:t>Buy SAP Native</w:t>
            </w:r>
          </w:p>
        </w:tc>
        <w:tc>
          <w:tcPr>
            <w:tcW w:type="dxa" w:w="1728"/>
          </w:tcPr>
          <w:p>
            <w:r>
              <w:rPr>
                <w:sz w:val="20"/>
              </w:rPr>
              <w:t>Adopt Joule agents + SAP AI Core</w:t>
            </w:r>
          </w:p>
        </w:tc>
        <w:tc>
          <w:tcPr>
            <w:tcW w:type="dxa" w:w="1728"/>
          </w:tcPr>
          <w:p>
            <w:r>
              <w:rPr>
                <w:sz w:val="20"/>
              </w:rPr>
              <w:t>Integrated, supported, roadmap alignment</w:t>
            </w:r>
          </w:p>
        </w:tc>
        <w:tc>
          <w:tcPr>
            <w:tcW w:type="dxa" w:w="1728"/>
          </w:tcPr>
          <w:p>
            <w:r>
              <w:rPr>
                <w:sz w:val="20"/>
              </w:rPr>
              <w:t>Vendor lock-in, limited customization</w:t>
            </w:r>
          </w:p>
        </w:tc>
        <w:tc>
          <w:tcPr>
            <w:tcW w:type="dxa" w:w="1728"/>
          </w:tcPr>
          <w:p>
            <w:r>
              <w:rPr>
                <w:sz w:val="20"/>
              </w:rPr>
              <w:t>Standard SAP processes</w:t>
            </w:r>
          </w:p>
        </w:tc>
      </w:tr>
      <w:tr>
        <w:tc>
          <w:tcPr>
            <w:tcW w:type="dxa" w:w="1728"/>
          </w:tcPr>
          <w:p>
            <w:r>
              <w:rPr>
                <w:sz w:val="20"/>
              </w:rPr>
              <w:t>Partner (Celonis/Workato)</w:t>
            </w:r>
          </w:p>
        </w:tc>
        <w:tc>
          <w:tcPr>
            <w:tcW w:type="dxa" w:w="1728"/>
          </w:tcPr>
          <w:p>
            <w:r>
              <w:rPr>
                <w:sz w:val="20"/>
              </w:rPr>
              <w:t>Use third-party AI+SAP platforms</w:t>
            </w:r>
          </w:p>
        </w:tc>
        <w:tc>
          <w:tcPr>
            <w:tcW w:type="dxa" w:w="1728"/>
          </w:tcPr>
          <w:p>
            <w:r>
              <w:rPr>
                <w:sz w:val="20"/>
              </w:rPr>
              <w:t>Faster deployment, proven technology</w:t>
            </w:r>
          </w:p>
        </w:tc>
        <w:tc>
          <w:tcPr>
            <w:tcW w:type="dxa" w:w="1728"/>
          </w:tcPr>
          <w:p>
            <w:r>
              <w:rPr>
                <w:sz w:val="20"/>
              </w:rPr>
              <w:t>Data exposure, dependency, cost</w:t>
            </w:r>
          </w:p>
        </w:tc>
        <w:tc>
          <w:tcPr>
            <w:tcW w:type="dxa" w:w="1728"/>
          </w:tcPr>
          <w:p>
            <w:r>
              <w:rPr>
                <w:sz w:val="20"/>
              </w:rPr>
              <w:t>Non-core processes, quick wins</w:t>
            </w:r>
          </w:p>
        </w:tc>
      </w:tr>
      <w:tr>
        <w:tc>
          <w:tcPr>
            <w:tcW w:type="dxa" w:w="1728"/>
          </w:tcPr>
          <w:p>
            <w:r>
              <w:rPr>
                <w:sz w:val="20"/>
              </w:rPr>
              <w:t>Hybrid</w:t>
            </w:r>
          </w:p>
        </w:tc>
        <w:tc>
          <w:tcPr>
            <w:tcW w:type="dxa" w:w="1728"/>
          </w:tcPr>
          <w:p>
            <w:r>
              <w:rPr>
                <w:sz w:val="20"/>
              </w:rPr>
              <w:t>SAP Joule for standard + custom agents for TPS-specific</w:t>
            </w:r>
          </w:p>
        </w:tc>
        <w:tc>
          <w:tcPr>
            <w:tcW w:type="dxa" w:w="1728"/>
          </w:tcPr>
          <w:p>
            <w:r>
              <w:rPr>
                <w:sz w:val="20"/>
              </w:rPr>
              <w:t>Best of both worlds</w:t>
            </w:r>
          </w:p>
        </w:tc>
        <w:tc>
          <w:tcPr>
            <w:tcW w:type="dxa" w:w="1728"/>
          </w:tcPr>
          <w:p>
            <w:r>
              <w:rPr>
                <w:sz w:val="20"/>
              </w:rPr>
              <w:t>Integration complexity</w:t>
            </w:r>
          </w:p>
        </w:tc>
        <w:tc>
          <w:tcPr>
            <w:tcW w:type="dxa" w:w="1728"/>
          </w:tcPr>
          <w:p>
            <w:r>
              <w:rPr>
                <w:sz w:val="20"/>
              </w:rPr>
              <w:t>Recommended approach for TMNA</w:t>
            </w:r>
          </w:p>
        </w:tc>
      </w:tr>
    </w:tbl>
    <w:p/>
    <w:p>
      <w:pPr>
        <w:pStyle w:val="Heading2"/>
      </w:pPr>
      <w:r>
        <w:t>Recommended Strategy for TMNA</w:t>
      </w:r>
    </w:p>
    <w:p>
      <w:r>
        <w:t>The Hybrid approach is recommended: Use SAP Joule agents for standard processes (cash management, HR, basic procurement) while building custom AI agents via OData-MCP bridges for Toyota Production System-specific workflows (kanban optimization, jidoka-aligned quality gates, kaizen-driven continuous improvement loops). This preserves Toyota's competitive advantage in lean manufacturing while leveraging SAP's investment in native AI.</w:t>
      </w:r>
    </w:p>
    <w:p>
      <w:r>
        <w:br w:type="page"/>
      </w:r>
    </w:p>
    <w:p>
      <w:pPr>
        <w:pStyle w:val="Heading1"/>
      </w:pPr>
      <w:r>
        <w:t>13. Competitive Landscape — OEM Comparison</w:t>
      </w:r>
    </w:p>
    <w:tbl>
      <w:tblPr>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B3A5C"/>
          </w:tcPr>
          <w:p>
            <w:r>
              <w:rPr>
                <w:b/>
                <w:color w:val="FFFFFF"/>
                <w:sz w:val="20"/>
              </w:rPr>
              <w:t>OEM</w:t>
            </w:r>
          </w:p>
        </w:tc>
        <w:tc>
          <w:tcPr>
            <w:tcW w:type="dxa" w:w="1440"/>
            <w:shd w:val="clear" w:color="auto" w:fill="1B3A5C"/>
          </w:tcPr>
          <w:p>
            <w:r>
              <w:rPr>
                <w:b/>
                <w:color w:val="FFFFFF"/>
                <w:sz w:val="20"/>
              </w:rPr>
              <w:t>AI Investment</w:t>
            </w:r>
          </w:p>
        </w:tc>
        <w:tc>
          <w:tcPr>
            <w:tcW w:type="dxa" w:w="1440"/>
            <w:shd w:val="clear" w:color="auto" w:fill="1B3A5C"/>
          </w:tcPr>
          <w:p>
            <w:r>
              <w:rPr>
                <w:b/>
                <w:color w:val="FFFFFF"/>
                <w:sz w:val="20"/>
              </w:rPr>
              <w:t>SAP Strategy</w:t>
            </w:r>
          </w:p>
        </w:tc>
        <w:tc>
          <w:tcPr>
            <w:tcW w:type="dxa" w:w="1440"/>
            <w:shd w:val="clear" w:color="auto" w:fill="1B3A5C"/>
          </w:tcPr>
          <w:p>
            <w:r>
              <w:rPr>
                <w:b/>
                <w:color w:val="FFFFFF"/>
                <w:sz w:val="20"/>
              </w:rPr>
              <w:t>OData/API Maturity</w:t>
            </w:r>
          </w:p>
        </w:tc>
        <w:tc>
          <w:tcPr>
            <w:tcW w:type="dxa" w:w="1440"/>
            <w:shd w:val="clear" w:color="auto" w:fill="1B3A5C"/>
          </w:tcPr>
          <w:p>
            <w:r>
              <w:rPr>
                <w:b/>
                <w:color w:val="FFFFFF"/>
                <w:sz w:val="20"/>
              </w:rPr>
              <w:t>AI Agent Adoption</w:t>
            </w:r>
          </w:p>
        </w:tc>
        <w:tc>
          <w:tcPr>
            <w:tcW w:type="dxa" w:w="1440"/>
            <w:shd w:val="clear" w:color="auto" w:fill="1B3A5C"/>
          </w:tcPr>
          <w:p>
            <w:r>
              <w:rPr>
                <w:b/>
                <w:color w:val="FFFFFF"/>
                <w:sz w:val="20"/>
              </w:rPr>
              <w:t>Overall Rating</w:t>
            </w:r>
          </w:p>
        </w:tc>
      </w:tr>
      <w:tr>
        <w:tc>
          <w:tcPr>
            <w:tcW w:type="dxa" w:w="1440"/>
          </w:tcPr>
          <w:p>
            <w:r>
              <w:rPr>
                <w:sz w:val="20"/>
              </w:rPr>
              <w:t>Volkswagen</w:t>
            </w:r>
          </w:p>
        </w:tc>
        <w:tc>
          <w:tcPr>
            <w:tcW w:type="dxa" w:w="1440"/>
          </w:tcPr>
          <w:p>
            <w:r>
              <w:rPr>
                <w:sz w:val="20"/>
              </w:rPr>
              <w:t>€1B by 2030</w:t>
            </w:r>
          </w:p>
        </w:tc>
        <w:tc>
          <w:tcPr>
            <w:tcW w:type="dxa" w:w="1440"/>
          </w:tcPr>
          <w:p>
            <w:r>
              <w:rPr>
                <w:sz w:val="20"/>
              </w:rPr>
              <w:t>SAP + AWS</w:t>
            </w:r>
          </w:p>
        </w:tc>
        <w:tc>
          <w:tcPr>
            <w:tcW w:type="dxa" w:w="1440"/>
          </w:tcPr>
          <w:p>
            <w:r>
              <w:rPr>
                <w:sz w:val="20"/>
              </w:rPr>
              <w:t>High (Catena-X)</w:t>
            </w:r>
          </w:p>
        </w:tc>
        <w:tc>
          <w:tcPr>
            <w:tcW w:type="dxa" w:w="1440"/>
          </w:tcPr>
          <w:p>
            <w:r>
              <w:rPr>
                <w:sz w:val="20"/>
              </w:rPr>
              <w:t>Advanced (130K trained)</w:t>
            </w:r>
          </w:p>
        </w:tc>
        <w:tc>
          <w:tcPr>
            <w:tcW w:type="dxa" w:w="1440"/>
          </w:tcPr>
          <w:p>
            <w:r>
              <w:rPr>
                <w:sz w:val="20"/>
              </w:rPr>
              <w:t>★★★★★</w:t>
            </w:r>
          </w:p>
        </w:tc>
      </w:tr>
      <w:tr>
        <w:tc>
          <w:tcPr>
            <w:tcW w:type="dxa" w:w="1440"/>
          </w:tcPr>
          <w:p>
            <w:r>
              <w:rPr>
                <w:sz w:val="20"/>
              </w:rPr>
              <w:t>BMW</w:t>
            </w:r>
          </w:p>
        </w:tc>
        <w:tc>
          <w:tcPr>
            <w:tcW w:type="dxa" w:w="1440"/>
          </w:tcPr>
          <w:p>
            <w:r>
              <w:rPr>
                <w:sz w:val="20"/>
              </w:rPr>
              <w:t>Significant</w:t>
            </w:r>
          </w:p>
        </w:tc>
        <w:tc>
          <w:tcPr>
            <w:tcW w:type="dxa" w:w="1440"/>
          </w:tcPr>
          <w:p>
            <w:r>
              <w:rPr>
                <w:sz w:val="20"/>
              </w:rPr>
              <w:t>S/4HANA Cloud</w:t>
            </w:r>
          </w:p>
        </w:tc>
        <w:tc>
          <w:tcPr>
            <w:tcW w:type="dxa" w:w="1440"/>
          </w:tcPr>
          <w:p>
            <w:r>
              <w:rPr>
                <w:sz w:val="20"/>
              </w:rPr>
              <w:t>High (Catena-X + iFactory)</w:t>
            </w:r>
          </w:p>
        </w:tc>
        <w:tc>
          <w:tcPr>
            <w:tcW w:type="dxa" w:w="1440"/>
          </w:tcPr>
          <w:p>
            <w:r>
              <w:rPr>
                <w:sz w:val="20"/>
              </w:rPr>
              <w:t>Moderate</w:t>
            </w:r>
          </w:p>
        </w:tc>
        <w:tc>
          <w:tcPr>
            <w:tcW w:type="dxa" w:w="1440"/>
          </w:tcPr>
          <w:p>
            <w:r>
              <w:rPr>
                <w:sz w:val="20"/>
              </w:rPr>
              <w:t>★★★★☆</w:t>
            </w:r>
          </w:p>
        </w:tc>
      </w:tr>
      <w:tr>
        <w:tc>
          <w:tcPr>
            <w:tcW w:type="dxa" w:w="1440"/>
          </w:tcPr>
          <w:p>
            <w:r>
              <w:rPr>
                <w:sz w:val="20"/>
              </w:rPr>
              <w:t>Toyota/TMNA</w:t>
            </w:r>
          </w:p>
        </w:tc>
        <w:tc>
          <w:tcPr>
            <w:tcW w:type="dxa" w:w="1440"/>
          </w:tcPr>
          <w:p>
            <w:r>
              <w:rPr>
                <w:sz w:val="20"/>
              </w:rPr>
              <w:t>GAIA Accelerator</w:t>
            </w:r>
          </w:p>
        </w:tc>
        <w:tc>
          <w:tcPr>
            <w:tcW w:type="dxa" w:w="1440"/>
          </w:tcPr>
          <w:p>
            <w:r>
              <w:rPr>
                <w:sz w:val="20"/>
              </w:rPr>
              <w:t>S/4HANA (migrating)</w:t>
            </w:r>
          </w:p>
        </w:tc>
        <w:tc>
          <w:tcPr>
            <w:tcW w:type="dxa" w:w="1440"/>
          </w:tcPr>
          <w:p>
            <w:r>
              <w:rPr>
                <w:sz w:val="20"/>
              </w:rPr>
              <w:t>Medium (in progress)</w:t>
            </w:r>
          </w:p>
        </w:tc>
        <w:tc>
          <w:tcPr>
            <w:tcW w:type="dxa" w:w="1440"/>
          </w:tcPr>
          <w:p>
            <w:r>
              <w:rPr>
                <w:sz w:val="20"/>
              </w:rPr>
              <w:t>Early (GAIA launched 2025)</w:t>
            </w:r>
          </w:p>
        </w:tc>
        <w:tc>
          <w:tcPr>
            <w:tcW w:type="dxa" w:w="1440"/>
          </w:tcPr>
          <w:p>
            <w:r>
              <w:rPr>
                <w:sz w:val="20"/>
              </w:rPr>
              <w:t>★★★☆☆</w:t>
            </w:r>
          </w:p>
        </w:tc>
      </w:tr>
      <w:tr>
        <w:tc>
          <w:tcPr>
            <w:tcW w:type="dxa" w:w="1440"/>
          </w:tcPr>
          <w:p>
            <w:r>
              <w:rPr>
                <w:sz w:val="20"/>
              </w:rPr>
              <w:t>Hyundai/Kia</w:t>
            </w:r>
          </w:p>
        </w:tc>
        <w:tc>
          <w:tcPr>
            <w:tcW w:type="dxa" w:w="1440"/>
          </w:tcPr>
          <w:p>
            <w:r>
              <w:rPr>
                <w:sz w:val="20"/>
              </w:rPr>
              <w:t>SDF Program</w:t>
            </w:r>
          </w:p>
        </w:tc>
        <w:tc>
          <w:tcPr>
            <w:tcW w:type="dxa" w:w="1440"/>
          </w:tcPr>
          <w:p>
            <w:r>
              <w:rPr>
                <w:sz w:val="20"/>
              </w:rPr>
              <w:t>RISE with SAP</w:t>
            </w:r>
          </w:p>
        </w:tc>
        <w:tc>
          <w:tcPr>
            <w:tcW w:type="dxa" w:w="1440"/>
          </w:tcPr>
          <w:p>
            <w:r>
              <w:rPr>
                <w:sz w:val="20"/>
              </w:rPr>
              <w:t>Medium</w:t>
            </w:r>
          </w:p>
        </w:tc>
        <w:tc>
          <w:tcPr>
            <w:tcW w:type="dxa" w:w="1440"/>
          </w:tcPr>
          <w:p>
            <w:r>
              <w:rPr>
                <w:sz w:val="20"/>
              </w:rPr>
              <w:t>Moderate (digital twins)</w:t>
            </w:r>
          </w:p>
        </w:tc>
        <w:tc>
          <w:tcPr>
            <w:tcW w:type="dxa" w:w="1440"/>
          </w:tcPr>
          <w:p>
            <w:r>
              <w:rPr>
                <w:sz w:val="20"/>
              </w:rPr>
              <w:t>★★★★☆</w:t>
            </w:r>
          </w:p>
        </w:tc>
      </w:tr>
      <w:tr>
        <w:tc>
          <w:tcPr>
            <w:tcW w:type="dxa" w:w="1440"/>
          </w:tcPr>
          <w:p>
            <w:r>
              <w:rPr>
                <w:sz w:val="20"/>
              </w:rPr>
              <w:t>Ford</w:t>
            </w:r>
          </w:p>
        </w:tc>
        <w:tc>
          <w:tcPr>
            <w:tcW w:type="dxa" w:w="1440"/>
          </w:tcPr>
          <w:p>
            <w:r>
              <w:rPr>
                <w:sz w:val="20"/>
              </w:rPr>
              <w:t>Multi-year</w:t>
            </w:r>
          </w:p>
        </w:tc>
        <w:tc>
          <w:tcPr>
            <w:tcW w:type="dxa" w:w="1440"/>
          </w:tcPr>
          <w:p>
            <w:r>
              <w:rPr>
                <w:sz w:val="20"/>
              </w:rPr>
              <w:t>SAP SPM + Legacy</w:t>
            </w:r>
          </w:p>
        </w:tc>
        <w:tc>
          <w:tcPr>
            <w:tcW w:type="dxa" w:w="1440"/>
          </w:tcPr>
          <w:p>
            <w:r>
              <w:rPr>
                <w:sz w:val="20"/>
              </w:rPr>
              <w:t>Medium</w:t>
            </w:r>
          </w:p>
        </w:tc>
        <w:tc>
          <w:tcPr>
            <w:tcW w:type="dxa" w:w="1440"/>
          </w:tcPr>
          <w:p>
            <w:r>
              <w:rPr>
                <w:sz w:val="20"/>
              </w:rPr>
              <w:t>Early-Moderate</w:t>
            </w:r>
          </w:p>
        </w:tc>
        <w:tc>
          <w:tcPr>
            <w:tcW w:type="dxa" w:w="1440"/>
          </w:tcPr>
          <w:p>
            <w:r>
              <w:rPr>
                <w:sz w:val="20"/>
              </w:rPr>
              <w:t>★★★☆☆</w:t>
            </w:r>
          </w:p>
        </w:tc>
      </w:tr>
      <w:tr>
        <w:tc>
          <w:tcPr>
            <w:tcW w:type="dxa" w:w="1440"/>
          </w:tcPr>
          <w:p>
            <w:r>
              <w:rPr>
                <w:sz w:val="20"/>
              </w:rPr>
              <w:t>GM</w:t>
            </w:r>
          </w:p>
        </w:tc>
        <w:tc>
          <w:tcPr>
            <w:tcW w:type="dxa" w:w="1440"/>
          </w:tcPr>
          <w:p>
            <w:r>
              <w:rPr>
                <w:sz w:val="20"/>
              </w:rPr>
              <w:t>Undisclosed</w:t>
            </w:r>
          </w:p>
        </w:tc>
        <w:tc>
          <w:tcPr>
            <w:tcW w:type="dxa" w:w="1440"/>
          </w:tcPr>
          <w:p>
            <w:r>
              <w:rPr>
                <w:sz w:val="20"/>
              </w:rPr>
              <w:t>SAP (various)</w:t>
            </w:r>
          </w:p>
        </w:tc>
        <w:tc>
          <w:tcPr>
            <w:tcW w:type="dxa" w:w="1440"/>
          </w:tcPr>
          <w:p>
            <w:r>
              <w:rPr>
                <w:sz w:val="20"/>
              </w:rPr>
              <w:t>Low-Medium</w:t>
            </w:r>
          </w:p>
        </w:tc>
        <w:tc>
          <w:tcPr>
            <w:tcW w:type="dxa" w:w="1440"/>
          </w:tcPr>
          <w:p>
            <w:r>
              <w:rPr>
                <w:sz w:val="20"/>
              </w:rPr>
              <w:t>Early</w:t>
            </w:r>
          </w:p>
        </w:tc>
        <w:tc>
          <w:tcPr>
            <w:tcW w:type="dxa" w:w="1440"/>
          </w:tcPr>
          <w:p>
            <w:r>
              <w:rPr>
                <w:sz w:val="20"/>
              </w:rPr>
              <w:t>★★☆☆☆</w:t>
            </w:r>
          </w:p>
        </w:tc>
      </w:tr>
    </w:tbl>
    <w:p/>
    <w:p>
      <w:pPr>
        <w:pStyle w:val="Heading2"/>
      </w:pPr>
      <w:r>
        <w:t>Key Insight</w:t>
      </w:r>
    </w:p>
    <w:p>
      <w:r>
        <w:t>Toyota/TMNA is currently rated 3/5 in the competitive landscape — behind Volkswagen and Hyundai in AI+SAP integration maturity. However, TMNA's appointment of a dedicated Head of AI and the GAIA accelerator signal intent to close the gap. The critical window is 2026-2027: if TMNA can leverage its S/4HANA migration as an opportunity to embed AI-native OData integration from the start (rather than bolting it on afterward), it can leapfrog competitors.</w:t>
      </w:r>
    </w:p>
    <w:p>
      <w:r>
        <w:br w:type="page"/>
      </w:r>
    </w:p>
    <w:p>
      <w:pPr>
        <w:pStyle w:val="Heading1"/>
      </w:pPr>
      <w:r>
        <w:t>14. References &amp; Sources</w:t>
      </w:r>
    </w:p>
    <w:p>
      <w:pPr>
        <w:pStyle w:val="Heading2"/>
      </w:pPr>
      <w:r>
        <w:t>Toyota &amp; TMNA</w:t>
      </w:r>
    </w:p>
    <w:p>
      <w:pPr>
        <w:spacing w:after="40"/>
      </w:pPr>
      <w:r>
        <w:t>[1] Toyota accelerates digital transformation</w:t>
      </w:r>
      <w:r>
        <w:rPr>
          <w:color w:val="0056B3"/>
          <w:sz w:val="18"/>
        </w:rPr>
        <w:br/>
        <w:t xml:space="preserve">    https://www.processexcellencenetwork.com/digital-transformation/news/toyota-accelerates-digital-transformation-with-sap-s4hana-upgrades</w:t>
      </w:r>
    </w:p>
    <w:p>
      <w:pPr>
        <w:spacing w:after="40"/>
      </w:pPr>
      <w:r>
        <w:t>[2] IBM Accelerates Digital Transformation for Toyota South Africa Motors — SAP News</w:t>
      </w:r>
      <w:r>
        <w:rPr>
          <w:color w:val="0056B3"/>
          <w:sz w:val="18"/>
        </w:rPr>
        <w:br/>
        <w:t xml:space="preserve">    https://news.sap.com/africa/2025/11/ibm-accelerates-digital-transformation-for-toyota-south-africa-motors-with-sap-s-4hana-upgrades/</w:t>
      </w:r>
    </w:p>
    <w:p>
      <w:pPr>
        <w:spacing w:after="40"/>
      </w:pPr>
      <w:r>
        <w:t>[3] Toyota Creates New Digital Transformation &amp; Mobility Pillar — Toyota USA Newsroom</w:t>
      </w:r>
      <w:r>
        <w:rPr>
          <w:color w:val="0056B3"/>
          <w:sz w:val="18"/>
        </w:rPr>
        <w:br/>
        <w:t xml:space="preserve">    https://pressroom.toyota.com/toyota-creates-new-digital-trans-mobility-pillar/</w:t>
      </w:r>
    </w:p>
    <w:p>
      <w:pPr>
        <w:spacing w:after="40"/>
      </w:pPr>
      <w:r>
        <w:t>[4] Digital Innovation at Toyota Motor North America — MIT CISR</w:t>
      </w:r>
      <w:r>
        <w:rPr>
          <w:color w:val="0056B3"/>
          <w:sz w:val="18"/>
        </w:rPr>
        <w:br/>
        <w:t xml:space="preserve">    https://cisr.mit.edu/publication/MIT_CISRwp403_Toyota_BetancourtMooneyRoss</w:t>
      </w:r>
    </w:p>
    <w:p>
      <w:pPr>
        <w:spacing w:after="40"/>
      </w:pPr>
      <w:r>
        <w:t>[5] Toyota pushes IT automation into overdrive — CIO</w:t>
      </w:r>
      <w:r>
        <w:rPr>
          <w:color w:val="0056B3"/>
          <w:sz w:val="18"/>
        </w:rPr>
        <w:br/>
        <w:t xml:space="preserve">    https://www.cio.com/article/472566/toyota-pushes-it-automation-into-overdrive.html</w:t>
      </w:r>
    </w:p>
    <w:p>
      <w:pPr>
        <w:spacing w:after="40"/>
      </w:pPr>
      <w:r>
        <w:t>[6] Toyota's 2025 Lean Manufacturing Evolution — Automotive Manufacturing Solutions</w:t>
      </w:r>
      <w:r>
        <w:rPr>
          <w:color w:val="0056B3"/>
          <w:sz w:val="18"/>
        </w:rPr>
        <w:br/>
        <w:t xml:space="preserve">    https://www.automotivemanufacturingsolutions.com/editors-pick/inside-toyotas-2025-leaner-manufacturing-system/645325</w:t>
      </w:r>
    </w:p>
    <w:p>
      <w:pPr>
        <w:spacing w:after="40"/>
      </w:pPr>
      <w:r>
        <w:t>[7] Toyota's AI Strategy: Analysis of AI Driven Dominance — Klover.ai</w:t>
      </w:r>
      <w:r>
        <w:rPr>
          <w:color w:val="0056B3"/>
          <w:sz w:val="18"/>
        </w:rPr>
        <w:br/>
        <w:t xml:space="preserve">    https://www.klover.ai/toyota-ai-strategy-analysis-of-ai-driven-dominance-in-automative/</w:t>
      </w:r>
    </w:p>
    <w:p>
      <w:pPr>
        <w:spacing w:after="40"/>
      </w:pPr>
      <w:r>
        <w:t>[8] Fortune 500 CEO: Lean Manufacturing prerequisite for AI — Fortune</w:t>
      </w:r>
      <w:r>
        <w:rPr>
          <w:color w:val="0056B3"/>
          <w:sz w:val="18"/>
        </w:rPr>
        <w:br/>
        <w:t xml:space="preserve">    https://fortune.com/2026/02/19/bd-ceo-tom-polen-lean-manufacturing-kaizens-toyota-leverage-ai/</w:t>
      </w:r>
    </w:p>
    <w:p>
      <w:pPr>
        <w:spacing w:after="40"/>
      </w:pPr>
      <w:r>
        <w:t>[9] Toyota Vietnam SAP S/4HANA deployment — FPT IS</w:t>
      </w:r>
      <w:r>
        <w:rPr>
          <w:color w:val="0056B3"/>
          <w:sz w:val="18"/>
        </w:rPr>
        <w:br/>
        <w:t xml:space="preserve">    https://fpt-is.com/en/toyota-vietnam-has-successfully-applied-the-sap-s-4hana-system-deployed-by-fpt-is/</w:t>
      </w:r>
    </w:p>
    <w:p>
      <w:pPr>
        <w:pStyle w:val="Heading2"/>
      </w:pPr>
      <w:r>
        <w:t>SAP OData &amp; AI Integration</w:t>
      </w:r>
    </w:p>
    <w:p>
      <w:pPr>
        <w:spacing w:after="40"/>
      </w:pPr>
      <w:r>
        <w:t>[10] SAP Integration Suite: Ultimate Guide 2026 — Bizdata360</w:t>
      </w:r>
      <w:r>
        <w:rPr>
          <w:color w:val="0056B3"/>
          <w:sz w:val="18"/>
        </w:rPr>
        <w:br/>
        <w:t xml:space="preserve">    https://www.bizdata360.com/sap-integration-suite/</w:t>
      </w:r>
    </w:p>
    <w:p>
      <w:pPr>
        <w:spacing w:after="40"/>
      </w:pPr>
      <w:r>
        <w:t>[11] SAP OData API Guide Copilot — GitHub Azure Samples</w:t>
      </w:r>
      <w:r>
        <w:rPr>
          <w:color w:val="0056B3"/>
          <w:sz w:val="18"/>
        </w:rPr>
        <w:br/>
        <w:t xml:space="preserve">    https://github.com/Azure-Samples/sap-odata-api-guide-copilot</w:t>
      </w:r>
    </w:p>
    <w:p>
      <w:pPr>
        <w:spacing w:after="40"/>
      </w:pPr>
      <w:r>
        <w:t>[12] Integration Suite in 2025 &amp; 2026 — SAP Community</w:t>
      </w:r>
      <w:r>
        <w:rPr>
          <w:color w:val="0056B3"/>
          <w:sz w:val="18"/>
        </w:rPr>
        <w:br/>
        <w:t xml:space="preserve">    https://community.sap.com/t5/technology-blog-posts-by-members/integration-suite-in-2025-amp-2026/ba-p/14320912</w:t>
      </w:r>
    </w:p>
    <w:p>
      <w:pPr>
        <w:spacing w:after="40"/>
      </w:pPr>
      <w:r>
        <w:t>[13] SAP Business AI Release Highlights Q4 2025 — SAP News</w:t>
      </w:r>
      <w:r>
        <w:rPr>
          <w:color w:val="0056B3"/>
          <w:sz w:val="18"/>
        </w:rPr>
        <w:br/>
        <w:t xml:space="preserve">    https://news.sap.com/2026/01/sap-business-ai-release-highlights-q4-2025/</w:t>
      </w:r>
    </w:p>
    <w:p>
      <w:pPr>
        <w:spacing w:after="40"/>
      </w:pPr>
      <w:r>
        <w:t>[14] 4 Trends Redefining SAP-Salesforce Integration — DEV Community</w:t>
      </w:r>
      <w:r>
        <w:rPr>
          <w:color w:val="0056B3"/>
          <w:sz w:val="18"/>
        </w:rPr>
        <w:br/>
        <w:t xml:space="preserve">    https://dev.to/builderyo/the-4-trends-redefining-sap-salesforce-integration-ai-cloud-odata-and-low-code-f00</w:t>
      </w:r>
    </w:p>
    <w:p>
      <w:pPr>
        <w:spacing w:after="40"/>
      </w:pPr>
      <w:r>
        <w:t>[15] SAP AI Integration for Enterprise Complexity — Buzzi.ai</w:t>
      </w:r>
      <w:r>
        <w:rPr>
          <w:color w:val="0056B3"/>
          <w:sz w:val="18"/>
        </w:rPr>
        <w:br/>
        <w:t xml:space="preserve">    https://buzzi.ai/insights/sap-ai-integration-for-enterprise-complexity</w:t>
      </w:r>
    </w:p>
    <w:p>
      <w:pPr>
        <w:spacing w:after="40"/>
      </w:pPr>
      <w:r>
        <w:t>[16] BTP SAP OData to MCP Server — GitHub</w:t>
      </w:r>
      <w:r>
        <w:rPr>
          <w:color w:val="0056B3"/>
          <w:sz w:val="18"/>
        </w:rPr>
        <w:br/>
        <w:t xml:space="preserve">    https://github.com/lemaiwo/btp-sap-odata-to-mcp-server</w:t>
      </w:r>
    </w:p>
    <w:p>
      <w:pPr>
        <w:spacing w:after="40"/>
      </w:pPr>
      <w:r>
        <w:t>[17] SAP AI MCP Servers: Complete List — GitHub</w:t>
      </w:r>
      <w:r>
        <w:rPr>
          <w:color w:val="0056B3"/>
          <w:sz w:val="18"/>
        </w:rPr>
        <w:br/>
        <w:t xml:space="preserve">    https://github.com/marianfoo/sap-ai-mcp-servers</w:t>
      </w:r>
    </w:p>
    <w:p>
      <w:pPr>
        <w:spacing w:after="40"/>
      </w:pPr>
      <w:r>
        <w:t>[18] Universal OData-MCP Bridge: 15,000 Enterprise Services — SAP Community</w:t>
      </w:r>
      <w:r>
        <w:rPr>
          <w:color w:val="0056B3"/>
          <w:sz w:val="18"/>
        </w:rPr>
        <w:br/>
        <w:t xml:space="preserve">    https://community.sap.com/t5/technology-blog-posts-by-members/universal-odata-mcp-bridge-or-how-i-accidentally-made-15-000-enterprise/ba-p/14134676</w:t>
      </w:r>
    </w:p>
    <w:p>
      <w:pPr>
        <w:spacing w:after="40"/>
      </w:pPr>
      <w:r>
        <w:t>[19] OData MCP Proxy Introduction — SAP Community</w:t>
      </w:r>
      <w:r>
        <w:rPr>
          <w:color w:val="0056B3"/>
          <w:sz w:val="18"/>
        </w:rPr>
        <w:br/>
        <w:t xml:space="preserve">    https://community.sap.com/t5/technology-blog-posts-by-members/odata-mcp-proxy-introduction/ba-p/14348684</w:t>
      </w:r>
    </w:p>
    <w:p>
      <w:pPr>
        <w:pStyle w:val="Heading2"/>
      </w:pPr>
      <w:r>
        <w:t>SAP Joule &amp; AI Agents</w:t>
      </w:r>
    </w:p>
    <w:p>
      <w:pPr>
        <w:spacing w:after="40"/>
      </w:pPr>
      <w:r>
        <w:t>[20] New Joule Agents Supercharge Business Returns — SAP News</w:t>
      </w:r>
      <w:r>
        <w:rPr>
          <w:color w:val="0056B3"/>
          <w:sz w:val="18"/>
        </w:rPr>
        <w:br/>
        <w:t xml:space="preserve">    https://news.sap.com/2025/10/sap-connect-business-ai-new-joule-agents-embedded-intelligence/</w:t>
      </w:r>
    </w:p>
    <w:p>
      <w:pPr>
        <w:spacing w:after="40"/>
      </w:pPr>
      <w:r>
        <w:t>[21] SAP AI Agents in 2026: Joule Studio Features — AIMultiple</w:t>
      </w:r>
      <w:r>
        <w:rPr>
          <w:color w:val="0056B3"/>
          <w:sz w:val="18"/>
        </w:rPr>
        <w:br/>
        <w:t xml:space="preserve">    https://research.aimultiple.com/sap-ai-agents/</w:t>
      </w:r>
    </w:p>
    <w:p>
      <w:pPr>
        <w:spacing w:after="40"/>
      </w:pPr>
      <w:r>
        <w:t>[22] SAP Joule Agentic AI 2026 — SAVIC Technologies</w:t>
      </w:r>
      <w:r>
        <w:rPr>
          <w:color w:val="0056B3"/>
          <w:sz w:val="18"/>
        </w:rPr>
        <w:br/>
        <w:t xml:space="preserve">    https://www.savictech.com/insights/sap-joule-agentic-ai-2026/</w:t>
      </w:r>
    </w:p>
    <w:p>
      <w:pPr>
        <w:spacing w:after="40"/>
      </w:pPr>
      <w:r>
        <w:t>[23] Joule Agents: Collaborative AI Agents — SAP</w:t>
      </w:r>
      <w:r>
        <w:rPr>
          <w:color w:val="0056B3"/>
          <w:sz w:val="18"/>
        </w:rPr>
        <w:br/>
        <w:t xml:space="preserve">    https://www.sap.com/products/artificial-intelligence/ai-agents.html</w:t>
      </w:r>
    </w:p>
    <w:p>
      <w:pPr>
        <w:spacing w:after="40"/>
      </w:pPr>
      <w:r>
        <w:t>[24] SAP Business AI Q1 2026 — SAVIC Technologies</w:t>
      </w:r>
      <w:r>
        <w:rPr>
          <w:color w:val="0056B3"/>
          <w:sz w:val="18"/>
        </w:rPr>
        <w:br/>
        <w:t xml:space="preserve">    https://www.savictech.com/insights/sap-business-ai-q1-2026-joule-agents/</w:t>
      </w:r>
    </w:p>
    <w:p>
      <w:pPr>
        <w:spacing w:after="40"/>
      </w:pPr>
      <w:r>
        <w:t>[25] SAP BTP AI Foundation 2026 — SAVIC Technologies</w:t>
      </w:r>
      <w:r>
        <w:rPr>
          <w:color w:val="0056B3"/>
          <w:sz w:val="18"/>
        </w:rPr>
        <w:br/>
        <w:t xml:space="preserve">    https://www.savictech.com/insights/sap-btp-ai-foundation-joule-studio-abap-2026/</w:t>
      </w:r>
    </w:p>
    <w:p>
      <w:pPr>
        <w:spacing w:after="40"/>
      </w:pPr>
      <w:r>
        <w:t>[26] SAP Joule 2,500+ AI Skills 2026 — SAVIC Technologies</w:t>
      </w:r>
      <w:r>
        <w:rPr>
          <w:color w:val="0056B3"/>
          <w:sz w:val="18"/>
        </w:rPr>
        <w:br/>
        <w:t xml:space="preserve">    https://www.savictech.com/insights/sap-joule-ai-skills-2500-erp-transformation-2026/</w:t>
      </w:r>
    </w:p>
    <w:p>
      <w:pPr>
        <w:spacing w:after="40"/>
      </w:pPr>
      <w:r>
        <w:t>[27] SAP Uses AI Agents: 10 Ways — Klover.ai</w:t>
      </w:r>
      <w:r>
        <w:rPr>
          <w:color w:val="0056B3"/>
          <w:sz w:val="18"/>
        </w:rPr>
        <w:br/>
        <w:t xml:space="preserve">    https://www.klover.ai/sap-uses-ai-agents-10-ways-to-use-ai-in-depth-analysis-2025/</w:t>
      </w:r>
    </w:p>
    <w:p>
      <w:pPr>
        <w:pStyle w:val="Heading2"/>
      </w:pPr>
      <w:r>
        <w:t>Competitive Landscape — OEMs</w:t>
      </w:r>
    </w:p>
    <w:p>
      <w:pPr>
        <w:spacing w:after="40"/>
      </w:pPr>
      <w:r>
        <w:t>[28] Volkswagen Group Invests in AI — VW Group</w:t>
      </w:r>
      <w:r>
        <w:rPr>
          <w:color w:val="0056B3"/>
          <w:sz w:val="18"/>
        </w:rPr>
        <w:br/>
        <w:t xml:space="preserve">    https://www.volkswagen-group.com/en/press-releases/boosting-innovation-reshaping-mobility-volkswagen-group-invests-in-ai-19852</w:t>
      </w:r>
    </w:p>
    <w:p>
      <w:pPr>
        <w:spacing w:after="40"/>
      </w:pPr>
      <w:r>
        <w:t>[29] VW €1 Billion AI Drive — RCR Wireless</w:t>
      </w:r>
      <w:r>
        <w:rPr>
          <w:color w:val="0056B3"/>
          <w:sz w:val="18"/>
        </w:rPr>
        <w:br/>
        <w:t xml:space="preserve">    https://www.rcrwireless.com/20250910/industry-4-0/volkswagen-ai-drive</w:t>
      </w:r>
    </w:p>
    <w:p>
      <w:pPr>
        <w:spacing w:after="40"/>
      </w:pPr>
      <w:r>
        <w:t>[30] VW AWS Cloud AI Partnership — CIO Dive</w:t>
      </w:r>
      <w:r>
        <w:rPr>
          <w:color w:val="0056B3"/>
          <w:sz w:val="18"/>
        </w:rPr>
        <w:br/>
        <w:t xml:space="preserve">    https://www.ciodive.com/news/volkswagen-group-AWS-partnership-AI-cost-savings/758892/</w:t>
      </w:r>
    </w:p>
    <w:p>
      <w:pPr>
        <w:spacing w:after="40"/>
      </w:pPr>
      <w:r>
        <w:t>[31] Catena-X and SAP: Quality Management in Automotive — SAP News</w:t>
      </w:r>
      <w:r>
        <w:rPr>
          <w:color w:val="0056B3"/>
          <w:sz w:val="18"/>
        </w:rPr>
        <w:br/>
        <w:t xml:space="preserve">    https://news.sap.com/2025/03/catena-x-sap-efficient-quality-management-automotive-industry/</w:t>
      </w:r>
    </w:p>
    <w:p>
      <w:pPr>
        <w:spacing w:after="40"/>
      </w:pPr>
      <w:r>
        <w:t>[32] SAP: Next Wave of Digital Transformation in Automotive — SAP News</w:t>
      </w:r>
      <w:r>
        <w:rPr>
          <w:color w:val="0056B3"/>
          <w:sz w:val="18"/>
        </w:rPr>
        <w:br/>
        <w:t xml:space="preserve">    https://news.sap.com/2024/02/next-wave-digital-transformation-automotive-industry/</w:t>
      </w:r>
    </w:p>
    <w:p>
      <w:pPr>
        <w:spacing w:after="40"/>
      </w:pPr>
      <w:r>
        <w:t>[33] Ford SAP SPM Solution — Westernacher</w:t>
      </w:r>
      <w:r>
        <w:rPr>
          <w:color w:val="0056B3"/>
          <w:sz w:val="18"/>
        </w:rPr>
        <w:br/>
        <w:t xml:space="preserve">    https://westernacher.com/work/ford-takes-the-lead-with-complete-sap-spm-solution/</w:t>
      </w:r>
    </w:p>
    <w:p>
      <w:pPr>
        <w:spacing w:after="40"/>
      </w:pPr>
      <w:r>
        <w:t>[34] Hyundai E-FOREST Software-Defined Factories — Hyundai</w:t>
      </w:r>
      <w:r>
        <w:rPr>
          <w:color w:val="0056B3"/>
          <w:sz w:val="18"/>
        </w:rPr>
        <w:br/>
        <w:t xml:space="preserve">    https://www.hyundai.com/worldwide/en/newsroom/detail/hyundai-motor-and-kia-present-future-vision-for-software-defined-factories-at-e-forest-tech-day-2024-0000000849</w:t>
      </w:r>
    </w:p>
    <w:p>
      <w:pPr>
        <w:spacing w:after="40"/>
      </w:pPr>
      <w:r>
        <w:t>[35] Hyundai SDF Goes Global — Automotive Manufacturing Solutions</w:t>
      </w:r>
      <w:r>
        <w:rPr>
          <w:color w:val="0056B3"/>
          <w:sz w:val="18"/>
        </w:rPr>
        <w:br/>
        <w:t xml:space="preserve">    https://www.automotivemanufacturingsolutions.com/digitalisation/hyundais-agile-softwaredefined-factory-blueprint-goes-global/2140316</w:t>
      </w:r>
    </w:p>
    <w:p>
      <w:pPr>
        <w:spacing w:after="40"/>
      </w:pPr>
      <w:r>
        <w:t>[36] Hyundai/Kia RISE with SAP — SAP News</w:t>
      </w:r>
      <w:r>
        <w:rPr>
          <w:color w:val="0056B3"/>
          <w:sz w:val="18"/>
        </w:rPr>
        <w:br/>
        <w:t xml:space="preserve">    https://news.sap.com/sea/2025/04/sap-showcases-new-q1-cloud-and-business-ai-customers-across-asia-pacific/</w:t>
      </w:r>
    </w:p>
    <w:p>
      <w:pPr>
        <w:pStyle w:val="Heading2"/>
      </w:pPr>
      <w:r>
        <w:t>Market Sizing &amp; VC Theses</w:t>
      </w:r>
    </w:p>
    <w:p>
      <w:pPr>
        <w:spacing w:after="40"/>
      </w:pPr>
      <w:r>
        <w:t>[37] Automotive AI Market Report 2025-2030 — Markets and Markets</w:t>
      </w:r>
      <w:r>
        <w:rPr>
          <w:color w:val="0056B3"/>
          <w:sz w:val="18"/>
        </w:rPr>
        <w:br/>
        <w:t xml:space="preserve">    https://www.marketsandmarkets.com/Market-Reports/automotive-artificial-intelligence-market-248804391.html</w:t>
      </w:r>
    </w:p>
    <w:p>
      <w:pPr>
        <w:spacing w:after="40"/>
      </w:pPr>
      <w:r>
        <w:t>[38] Automotive AI Market Size 2026-2034 — Fortune Business Insights</w:t>
      </w:r>
      <w:r>
        <w:rPr>
          <w:color w:val="0056B3"/>
          <w:sz w:val="18"/>
        </w:rPr>
        <w:br/>
        <w:t xml:space="preserve">    https://www.fortunebusinessinsights.com/automotive-artificial-intelligence-market-105874</w:t>
      </w:r>
    </w:p>
    <w:p>
      <w:pPr>
        <w:spacing w:after="40"/>
      </w:pPr>
      <w:r>
        <w:t>[39] Automotive AI Industry Report 2030 — Grand View Research</w:t>
      </w:r>
      <w:r>
        <w:rPr>
          <w:color w:val="0056B3"/>
          <w:sz w:val="18"/>
        </w:rPr>
        <w:br/>
        <w:t xml:space="preserve">    https://www.grandviewresearch.com/industry-analysis/automotive-artificial-intelligence-market-report</w:t>
      </w:r>
    </w:p>
    <w:p>
      <w:pPr>
        <w:spacing w:after="40"/>
      </w:pPr>
      <w:r>
        <w:t>[40] AI in Automotive Market Size — Market.us</w:t>
      </w:r>
      <w:r>
        <w:rPr>
          <w:color w:val="0056B3"/>
          <w:sz w:val="18"/>
        </w:rPr>
        <w:br/>
        <w:t xml:space="preserve">    https://market.us/report/ai-in-automotive-market/</w:t>
      </w:r>
    </w:p>
    <w:p>
      <w:pPr>
        <w:spacing w:after="40"/>
      </w:pPr>
      <w:r>
        <w:t>[41] Sequoia: Services the New Software — Fortune</w:t>
      </w:r>
      <w:r>
        <w:rPr>
          <w:color w:val="0056B3"/>
          <w:sz w:val="18"/>
        </w:rPr>
        <w:br/>
        <w:t xml:space="preserve">    https://fortune.com/2026/04/21/services-are-the-new-software-sequoia-venture-capital-julien-bek-ai-native-eye-on-ai/</w:t>
      </w:r>
    </w:p>
    <w:p>
      <w:pPr>
        <w:pStyle w:val="Heading2"/>
      </w:pPr>
      <w:r>
        <w:t>Enterprise AI Startups &amp; Platforms</w:t>
      </w:r>
    </w:p>
    <w:p>
      <w:pPr>
        <w:spacing w:after="40"/>
      </w:pPr>
      <w:r>
        <w:t>[42] Celonis Process Intelligence — Celonis</w:t>
      </w:r>
      <w:r>
        <w:rPr>
          <w:color w:val="0056B3"/>
          <w:sz w:val="18"/>
        </w:rPr>
        <w:br/>
        <w:t xml:space="preserve">    https://www.celonis.com/</w:t>
      </w:r>
    </w:p>
    <w:p>
      <w:pPr>
        <w:spacing w:after="40"/>
      </w:pPr>
      <w:r>
        <w:t>[43] Celonis Business Breakdown — Contrary Research</w:t>
      </w:r>
      <w:r>
        <w:rPr>
          <w:color w:val="0056B3"/>
          <w:sz w:val="18"/>
        </w:rPr>
        <w:br/>
        <w:t xml:space="preserve">    https://research.contrary.com/company/celonis</w:t>
      </w:r>
    </w:p>
    <w:p>
      <w:pPr>
        <w:spacing w:after="40"/>
      </w:pPr>
      <w:r>
        <w:t>[44] Workato Enterprise iPaaS — Workato</w:t>
      </w:r>
      <w:r>
        <w:rPr>
          <w:color w:val="0056B3"/>
          <w:sz w:val="18"/>
        </w:rPr>
        <w:br/>
        <w:t xml:space="preserve">    https://www.workato.com/</w:t>
      </w:r>
    </w:p>
    <w:p>
      <w:pPr>
        <w:spacing w:after="40"/>
      </w:pPr>
      <w:r>
        <w:t>[45] Workato SAP Integration — OdiTek Solutions</w:t>
      </w:r>
      <w:r>
        <w:rPr>
          <w:color w:val="0056B3"/>
          <w:sz w:val="18"/>
        </w:rPr>
        <w:br/>
        <w:t xml:space="preserve">    https://oditeksolutions.com/workato-sap-integration-workato-sap/</w:t>
      </w:r>
    </w:p>
    <w:p>
      <w:pPr>
        <w:spacing w:after="40"/>
      </w:pPr>
      <w:r>
        <w:t>[46] SAP BTP Use Cases — Resolve Tech Solutions</w:t>
      </w:r>
      <w:r>
        <w:rPr>
          <w:color w:val="0056B3"/>
          <w:sz w:val="18"/>
        </w:rPr>
        <w:br/>
        <w:t xml:space="preserve">    https://resolvetech.com/sap-btp-use-cases-what-enterprises-are-actually-building/</w:t>
      </w:r>
    </w:p>
    <w:p>
      <w:pPr>
        <w:spacing w:after="40"/>
      </w:pPr>
      <w:r>
        <w:t>[47] SAP BTP for Auto Component Industry — 2i Solutions</w:t>
      </w:r>
      <w:r>
        <w:rPr>
          <w:color w:val="0056B3"/>
          <w:sz w:val="18"/>
        </w:rPr>
        <w:br/>
        <w:t xml:space="preserve">    https://2isolutions.com/sap-btp-developments-erp-for-auto-component-industry/</w:t>
      </w:r>
    </w:p>
    <w:p/>
    <w:p>
      <w:r>
        <w:rPr>
          <w:b/>
        </w:rPr>
        <w:t>Total References: 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