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64"/>
        </w:rPr>
        <w:t>AI-Powered SAP Order-to-Cash</w:t>
        <w:br/>
        <w:t>(O2C) Automation</w:t>
      </w:r>
    </w:p>
    <w:p>
      <w:pPr>
        <w:jc w:val="center"/>
      </w:pPr>
      <w:r>
        <w:rPr>
          <w:rFonts w:ascii="Calibri" w:hAnsi="Calibri"/>
          <w:color w:val="4A6F8A"/>
          <w:sz w:val="36"/>
        </w:rPr>
        <w:t>Strategic Market Intelligence Report</w:t>
      </w:r>
    </w:p>
    <w:p/>
    <w:p>
      <w:pPr>
        <w:jc w:val="center"/>
      </w:pPr>
      <w:r>
        <w:rPr>
          <w:rFonts w:ascii="Calibri" w:hAnsi="Calibri"/>
          <w:color w:val="666666"/>
          <w:sz w:val="28"/>
        </w:rPr>
        <w:t>May 2026</w:t>
      </w:r>
    </w:p>
    <w:p/>
    <w:p>
      <w:pPr>
        <w:jc w:val="center"/>
      </w:pPr>
      <w:r>
        <w:rPr>
          <w:rFonts w:ascii="Calibri" w:hAnsi="Calibri"/>
          <w:color w:val="888888"/>
          <w:sz w:val="22"/>
        </w:rPr>
        <w:t>Based on: github.com/shekerkamma/SAP-O2C-Automation</w:t>
        <w:br/>
      </w:r>
      <w:r>
        <w:rPr>
          <w:rFonts w:ascii="Calibri" w:hAnsi="Calibri"/>
          <w:color w:val="888888"/>
          <w:sz w:val="22"/>
        </w:rPr>
        <w:t>Multi-Agent AI System | Google ADK + Gemini + MCP</w:t>
      </w:r>
    </w:p>
    <w:p/>
    <w:p>
      <w:pPr>
        <w:jc w:val="center"/>
      </w:pPr>
      <w:r>
        <w:rPr>
          <w:rFonts w:ascii="Calibri" w:hAnsi="Calibri"/>
          <w:color w:val="AAAAAA"/>
          <w:sz w:val="18"/>
        </w:rPr>
        <w:t>Research compiled from 35+ primary sources including VC theses, analyst reports,</w:t>
        <w:br/>
        <w:t>company filings, and market intelligence platforms.</w:t>
      </w:r>
    </w:p>
    <w:p>
      <w:r>
        <w:br w:type="page"/>
      </w:r>
    </w:p>
    <w:p>
      <w:pPr>
        <w:pStyle w:val="Heading1"/>
      </w:pPr>
      <w:r>
        <w:t>Table of Contents</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Section</w:t>
            </w:r>
          </w:p>
        </w:tc>
        <w:tc>
          <w:tcPr>
            <w:tcW w:type="dxa" w:w="2880"/>
          </w:tcPr>
          <w:p>
            <w:r>
              <w:rPr>
                <w:rFonts w:ascii="Calibri" w:hAnsi="Calibri"/>
                <w:b/>
                <w:sz w:val="20"/>
              </w:rPr>
              <w:t>Title</w:t>
            </w:r>
          </w:p>
        </w:tc>
        <w:tc>
          <w:tcPr>
            <w:tcW w:type="dxa" w:w="2880"/>
          </w:tcPr>
          <w:p>
            <w:r>
              <w:rPr>
                <w:rFonts w:ascii="Calibri" w:hAnsi="Calibri"/>
                <w:b/>
                <w:sz w:val="20"/>
              </w:rPr>
              <w:t>Page</w:t>
            </w:r>
          </w:p>
        </w:tc>
      </w:tr>
      <w:tr>
        <w:tc>
          <w:tcPr>
            <w:tcW w:type="dxa" w:w="2880"/>
          </w:tcPr>
          <w:p>
            <w:r>
              <w:rPr>
                <w:rFonts w:ascii="Calibri" w:hAnsi="Calibri"/>
                <w:sz w:val="20"/>
              </w:rPr>
              <w:t>1</w:t>
            </w:r>
          </w:p>
        </w:tc>
        <w:tc>
          <w:tcPr>
            <w:tcW w:type="dxa" w:w="2880"/>
          </w:tcPr>
          <w:p>
            <w:r>
              <w:rPr>
                <w:rFonts w:ascii="Calibri" w:hAnsi="Calibri"/>
                <w:sz w:val="20"/>
              </w:rPr>
              <w:t>Executive Summary</w:t>
            </w:r>
          </w:p>
        </w:tc>
        <w:tc>
          <w:tcPr>
            <w:tcW w:type="dxa" w:w="2880"/>
          </w:tcPr>
          <w:p>
            <w:r>
              <w:rPr>
                <w:rFonts w:ascii="Calibri" w:hAnsi="Calibri"/>
                <w:sz w:val="20"/>
              </w:rPr>
              <w:t>3</w:t>
            </w:r>
          </w:p>
        </w:tc>
      </w:tr>
      <w:tr>
        <w:tc>
          <w:tcPr>
            <w:tcW w:type="dxa" w:w="2880"/>
          </w:tcPr>
          <w:p>
            <w:r>
              <w:rPr>
                <w:rFonts w:ascii="Calibri" w:hAnsi="Calibri"/>
                <w:sz w:val="20"/>
              </w:rPr>
              <w:t>2</w:t>
            </w:r>
          </w:p>
        </w:tc>
        <w:tc>
          <w:tcPr>
            <w:tcW w:type="dxa" w:w="2880"/>
          </w:tcPr>
          <w:p>
            <w:r>
              <w:rPr>
                <w:rFonts w:ascii="Calibri" w:hAnsi="Calibri"/>
                <w:sz w:val="20"/>
              </w:rPr>
              <w:t>Market Signal Analysis</w:t>
            </w:r>
          </w:p>
        </w:tc>
        <w:tc>
          <w:tcPr>
            <w:tcW w:type="dxa" w:w="2880"/>
          </w:tcPr>
          <w:p>
            <w:r>
              <w:rPr>
                <w:rFonts w:ascii="Calibri" w:hAnsi="Calibri"/>
                <w:sz w:val="20"/>
              </w:rPr>
              <w:t>5</w:t>
            </w:r>
          </w:p>
        </w:tc>
      </w:tr>
      <w:tr>
        <w:tc>
          <w:tcPr>
            <w:tcW w:type="dxa" w:w="2880"/>
          </w:tcPr>
          <w:p>
            <w:r>
              <w:rPr>
                <w:rFonts w:ascii="Calibri" w:hAnsi="Calibri"/>
                <w:sz w:val="20"/>
              </w:rPr>
              <w:t>3</w:t>
            </w:r>
          </w:p>
        </w:tc>
        <w:tc>
          <w:tcPr>
            <w:tcW w:type="dxa" w:w="2880"/>
          </w:tcPr>
          <w:p>
            <w:r>
              <w:rPr>
                <w:rFonts w:ascii="Calibri" w:hAnsi="Calibri"/>
                <w:sz w:val="20"/>
              </w:rPr>
              <w:t>Macro Thesis: VC Frameworks Applied</w:t>
            </w:r>
          </w:p>
        </w:tc>
        <w:tc>
          <w:tcPr>
            <w:tcW w:type="dxa" w:w="2880"/>
          </w:tcPr>
          <w:p>
            <w:r>
              <w:rPr>
                <w:rFonts w:ascii="Calibri" w:hAnsi="Calibri"/>
                <w:sz w:val="20"/>
              </w:rPr>
              <w:t>7</w:t>
            </w:r>
          </w:p>
        </w:tc>
      </w:tr>
      <w:tr>
        <w:tc>
          <w:tcPr>
            <w:tcW w:type="dxa" w:w="2880"/>
          </w:tcPr>
          <w:p>
            <w:r>
              <w:rPr>
                <w:rFonts w:ascii="Calibri" w:hAnsi="Calibri"/>
                <w:sz w:val="20"/>
              </w:rPr>
              <w:t>4</w:t>
            </w:r>
          </w:p>
        </w:tc>
        <w:tc>
          <w:tcPr>
            <w:tcW w:type="dxa" w:w="2880"/>
          </w:tcPr>
          <w:p>
            <w:r>
              <w:rPr>
                <w:rFonts w:ascii="Calibri" w:hAnsi="Calibri"/>
                <w:sz w:val="20"/>
              </w:rPr>
              <w:t>Market Sizing &amp; Vertical Analysis</w:t>
            </w:r>
          </w:p>
        </w:tc>
        <w:tc>
          <w:tcPr>
            <w:tcW w:type="dxa" w:w="2880"/>
          </w:tcPr>
          <w:p>
            <w:r>
              <w:rPr>
                <w:rFonts w:ascii="Calibri" w:hAnsi="Calibri"/>
                <w:sz w:val="20"/>
              </w:rPr>
              <w:t>9</w:t>
            </w:r>
          </w:p>
        </w:tc>
      </w:tr>
      <w:tr>
        <w:tc>
          <w:tcPr>
            <w:tcW w:type="dxa" w:w="2880"/>
          </w:tcPr>
          <w:p>
            <w:r>
              <w:rPr>
                <w:rFonts w:ascii="Calibri" w:hAnsi="Calibri"/>
                <w:sz w:val="20"/>
              </w:rPr>
              <w:t>5</w:t>
            </w:r>
          </w:p>
        </w:tc>
        <w:tc>
          <w:tcPr>
            <w:tcW w:type="dxa" w:w="2880"/>
          </w:tcPr>
          <w:p>
            <w:r>
              <w:rPr>
                <w:rFonts w:ascii="Calibri" w:hAnsi="Calibri"/>
                <w:sz w:val="20"/>
              </w:rPr>
              <w:t>Proof Points: Companies Winning Today</w:t>
            </w:r>
          </w:p>
        </w:tc>
        <w:tc>
          <w:tcPr>
            <w:tcW w:type="dxa" w:w="2880"/>
          </w:tcPr>
          <w:p>
            <w:r>
              <w:rPr>
                <w:rFonts w:ascii="Calibri" w:hAnsi="Calibri"/>
                <w:sz w:val="20"/>
              </w:rPr>
              <w:t>11</w:t>
            </w:r>
          </w:p>
        </w:tc>
      </w:tr>
      <w:tr>
        <w:tc>
          <w:tcPr>
            <w:tcW w:type="dxa" w:w="2880"/>
          </w:tcPr>
          <w:p>
            <w:r>
              <w:rPr>
                <w:rFonts w:ascii="Calibri" w:hAnsi="Calibri"/>
                <w:sz w:val="20"/>
              </w:rPr>
              <w:t>6</w:t>
            </w:r>
          </w:p>
        </w:tc>
        <w:tc>
          <w:tcPr>
            <w:tcW w:type="dxa" w:w="2880"/>
          </w:tcPr>
          <w:p>
            <w:r>
              <w:rPr>
                <w:rFonts w:ascii="Calibri" w:hAnsi="Calibri"/>
                <w:sz w:val="20"/>
              </w:rPr>
              <w:t>Operational Playbook</w:t>
            </w:r>
          </w:p>
        </w:tc>
        <w:tc>
          <w:tcPr>
            <w:tcW w:type="dxa" w:w="2880"/>
          </w:tcPr>
          <w:p>
            <w:r>
              <w:rPr>
                <w:rFonts w:ascii="Calibri" w:hAnsi="Calibri"/>
                <w:sz w:val="20"/>
              </w:rPr>
              <w:t>13</w:t>
            </w:r>
          </w:p>
        </w:tc>
      </w:tr>
      <w:tr>
        <w:tc>
          <w:tcPr>
            <w:tcW w:type="dxa" w:w="2880"/>
          </w:tcPr>
          <w:p>
            <w:r>
              <w:rPr>
                <w:rFonts w:ascii="Calibri" w:hAnsi="Calibri"/>
                <w:sz w:val="20"/>
              </w:rPr>
              <w:t>7</w:t>
            </w:r>
          </w:p>
        </w:tc>
        <w:tc>
          <w:tcPr>
            <w:tcW w:type="dxa" w:w="2880"/>
          </w:tcPr>
          <w:p>
            <w:r>
              <w:rPr>
                <w:rFonts w:ascii="Calibri" w:hAnsi="Calibri"/>
                <w:sz w:val="20"/>
              </w:rPr>
              <w:t>Unit Economics &amp; Financial Model</w:t>
            </w:r>
          </w:p>
        </w:tc>
        <w:tc>
          <w:tcPr>
            <w:tcW w:type="dxa" w:w="2880"/>
          </w:tcPr>
          <w:p>
            <w:r>
              <w:rPr>
                <w:rFonts w:ascii="Calibri" w:hAnsi="Calibri"/>
                <w:sz w:val="20"/>
              </w:rPr>
              <w:t>15</w:t>
            </w:r>
          </w:p>
        </w:tc>
      </w:tr>
      <w:tr>
        <w:tc>
          <w:tcPr>
            <w:tcW w:type="dxa" w:w="2880"/>
          </w:tcPr>
          <w:p>
            <w:r>
              <w:rPr>
                <w:rFonts w:ascii="Calibri" w:hAnsi="Calibri"/>
                <w:sz w:val="20"/>
              </w:rPr>
              <w:t>8</w:t>
            </w:r>
          </w:p>
        </w:tc>
        <w:tc>
          <w:tcPr>
            <w:tcW w:type="dxa" w:w="2880"/>
          </w:tcPr>
          <w:p>
            <w:r>
              <w:rPr>
                <w:rFonts w:ascii="Calibri" w:hAnsi="Calibri"/>
                <w:sz w:val="20"/>
              </w:rPr>
              <w:t>Competitive Moats &amp; Defensibility</w:t>
            </w:r>
          </w:p>
        </w:tc>
        <w:tc>
          <w:tcPr>
            <w:tcW w:type="dxa" w:w="2880"/>
          </w:tcPr>
          <w:p>
            <w:r>
              <w:rPr>
                <w:rFonts w:ascii="Calibri" w:hAnsi="Calibri"/>
                <w:sz w:val="20"/>
              </w:rPr>
              <w:t>17</w:t>
            </w:r>
          </w:p>
        </w:tc>
      </w:tr>
      <w:tr>
        <w:tc>
          <w:tcPr>
            <w:tcW w:type="dxa" w:w="2880"/>
          </w:tcPr>
          <w:p>
            <w:r>
              <w:rPr>
                <w:rFonts w:ascii="Calibri" w:hAnsi="Calibri"/>
                <w:sz w:val="20"/>
              </w:rPr>
              <w:t>9</w:t>
            </w:r>
          </w:p>
        </w:tc>
        <w:tc>
          <w:tcPr>
            <w:tcW w:type="dxa" w:w="2880"/>
          </w:tcPr>
          <w:p>
            <w:r>
              <w:rPr>
                <w:rFonts w:ascii="Calibri" w:hAnsi="Calibri"/>
                <w:sz w:val="20"/>
              </w:rPr>
              <w:t>Risk Analysis &amp; Failure Modes</w:t>
            </w:r>
          </w:p>
        </w:tc>
        <w:tc>
          <w:tcPr>
            <w:tcW w:type="dxa" w:w="2880"/>
          </w:tcPr>
          <w:p>
            <w:r>
              <w:rPr>
                <w:rFonts w:ascii="Calibri" w:hAnsi="Calibri"/>
                <w:sz w:val="20"/>
              </w:rPr>
              <w:t>19</w:t>
            </w:r>
          </w:p>
        </w:tc>
      </w:tr>
      <w:tr>
        <w:tc>
          <w:tcPr>
            <w:tcW w:type="dxa" w:w="2880"/>
          </w:tcPr>
          <w:p>
            <w:r>
              <w:rPr>
                <w:rFonts w:ascii="Calibri" w:hAnsi="Calibri"/>
                <w:sz w:val="20"/>
              </w:rPr>
              <w:t>10</w:t>
            </w:r>
          </w:p>
        </w:tc>
        <w:tc>
          <w:tcPr>
            <w:tcW w:type="dxa" w:w="2880"/>
          </w:tcPr>
          <w:p>
            <w:r>
              <w:rPr>
                <w:rFonts w:ascii="Calibri" w:hAnsi="Calibri"/>
                <w:sz w:val="20"/>
              </w:rPr>
              <w:t>Strategic Framework &amp; Decision Matrix</w:t>
            </w:r>
          </w:p>
        </w:tc>
        <w:tc>
          <w:tcPr>
            <w:tcW w:type="dxa" w:w="2880"/>
          </w:tcPr>
          <w:p>
            <w:r>
              <w:rPr>
                <w:rFonts w:ascii="Calibri" w:hAnsi="Calibri"/>
                <w:sz w:val="20"/>
              </w:rPr>
              <w:t>21</w:t>
            </w:r>
          </w:p>
        </w:tc>
      </w:tr>
      <w:tr>
        <w:tc>
          <w:tcPr>
            <w:tcW w:type="dxa" w:w="2880"/>
          </w:tcPr>
          <w:p>
            <w:r>
              <w:rPr>
                <w:rFonts w:ascii="Calibri" w:hAnsi="Calibri"/>
                <w:sz w:val="20"/>
              </w:rPr>
              <w:t>11</w:t>
            </w:r>
          </w:p>
        </w:tc>
        <w:tc>
          <w:tcPr>
            <w:tcW w:type="dxa" w:w="2880"/>
          </w:tcPr>
          <w:p>
            <w:r>
              <w:rPr>
                <w:rFonts w:ascii="Calibri" w:hAnsi="Calibri"/>
                <w:sz w:val="20"/>
              </w:rPr>
              <w:t>Competitive Landscape</w:t>
            </w:r>
          </w:p>
        </w:tc>
        <w:tc>
          <w:tcPr>
            <w:tcW w:type="dxa" w:w="2880"/>
          </w:tcPr>
          <w:p>
            <w:r>
              <w:rPr>
                <w:rFonts w:ascii="Calibri" w:hAnsi="Calibri"/>
                <w:sz w:val="20"/>
              </w:rPr>
              <w:t>23</w:t>
            </w:r>
          </w:p>
        </w:tc>
      </w:tr>
      <w:tr>
        <w:tc>
          <w:tcPr>
            <w:tcW w:type="dxa" w:w="2880"/>
          </w:tcPr>
          <w:p>
            <w:r>
              <w:rPr>
                <w:rFonts w:ascii="Calibri" w:hAnsi="Calibri"/>
                <w:sz w:val="20"/>
              </w:rPr>
              <w:t>12</w:t>
            </w:r>
          </w:p>
        </w:tc>
        <w:tc>
          <w:tcPr>
            <w:tcW w:type="dxa" w:w="2880"/>
          </w:tcPr>
          <w:p>
            <w:r>
              <w:rPr>
                <w:rFonts w:ascii="Calibri" w:hAnsi="Calibri"/>
                <w:sz w:val="20"/>
              </w:rPr>
              <w:t>SAP-O2C-Automation Repository Analysis</w:t>
            </w:r>
          </w:p>
        </w:tc>
        <w:tc>
          <w:tcPr>
            <w:tcW w:type="dxa" w:w="2880"/>
          </w:tcPr>
          <w:p>
            <w:r>
              <w:rPr>
                <w:rFonts w:ascii="Calibri" w:hAnsi="Calibri"/>
                <w:sz w:val="20"/>
              </w:rPr>
              <w:t>25</w:t>
            </w:r>
          </w:p>
        </w:tc>
      </w:tr>
      <w:tr>
        <w:tc>
          <w:tcPr>
            <w:tcW w:type="dxa" w:w="2880"/>
          </w:tcPr>
          <w:p>
            <w:r>
              <w:rPr>
                <w:rFonts w:ascii="Calibri" w:hAnsi="Calibri"/>
                <w:sz w:val="20"/>
              </w:rPr>
              <w:t>13</w:t>
            </w:r>
          </w:p>
        </w:tc>
        <w:tc>
          <w:tcPr>
            <w:tcW w:type="dxa" w:w="2880"/>
          </w:tcPr>
          <w:p>
            <w:r>
              <w:rPr>
                <w:rFonts w:ascii="Calibri" w:hAnsi="Calibri"/>
                <w:sz w:val="20"/>
              </w:rPr>
              <w:t>References &amp; Sources</w:t>
            </w:r>
          </w:p>
        </w:tc>
        <w:tc>
          <w:tcPr>
            <w:tcW w:type="dxa" w:w="2880"/>
          </w:tcPr>
          <w:p>
            <w:r>
              <w:rPr>
                <w:rFonts w:ascii="Calibri" w:hAnsi="Calibri"/>
                <w:sz w:val="20"/>
              </w:rPr>
              <w:t>27</w:t>
            </w:r>
          </w:p>
        </w:tc>
      </w:tr>
    </w:tbl>
    <w:p/>
    <w:p>
      <w:r>
        <w:br w:type="page"/>
      </w:r>
    </w:p>
    <w:p>
      <w:pPr>
        <w:pStyle w:val="Heading1"/>
      </w:pPr>
      <w:r>
        <w:t>1. Executive Summary</w:t>
      </w:r>
    </w:p>
    <w:p/>
    <w:p>
      <w:r>
        <w:t>The SAP Order-to-Cash (O2C) automation market is undergoing a structural transformation, driven by the convergence of agentic AI, multi-agent architectures, and the Model Context Protocol (MCP). This report analyzes the strategic landscape for AI-powered SAP O2C automation and positions the SAP-O2C-Automation repository as an early proof-of-concept in a market projected to reach $12.4 billion by 2033.</w:t>
      </w:r>
    </w:p>
    <w:p>
      <w:pPr>
        <w:pStyle w:val="Heading2"/>
      </w:pPr>
      <w:r>
        <w:t>Five Key Findings</w:t>
      </w:r>
    </w:p>
    <w:p>
      <w:pPr>
        <w:pStyle w:val="ListBullet"/>
      </w:pPr>
      <w:r>
        <w:rPr>
          <w:rFonts w:ascii="Calibri" w:hAnsi="Calibri"/>
          <w:b/>
          <w:sz w:val="22"/>
        </w:rPr>
        <w:t xml:space="preserve">Market Inflection: </w:t>
      </w:r>
      <w:r>
        <w:rPr>
          <w:rFonts w:ascii="Calibri" w:hAnsi="Calibri"/>
          <w:sz w:val="22"/>
        </w:rPr>
        <w:t>The O2C Automation AI market is valued at $2.7B (2024) growing to $12.4B by 2033 at 18.1% CAGR. The broader RPA market expands from $35.3B (2026) to $247.3B (2035). SAP holds the largest installed base globally with over 400,000 customers, making its O2C processes a prime automation target.</w:t>
      </w:r>
    </w:p>
    <w:p>
      <w:pPr>
        <w:pStyle w:val="ListBullet"/>
      </w:pPr>
      <w:r>
        <w:rPr>
          <w:rFonts w:ascii="Calibri" w:hAnsi="Calibri"/>
          <w:b/>
          <w:sz w:val="22"/>
        </w:rPr>
        <w:t xml:space="preserve">Agentic AI Paradigm Shift: </w:t>
      </w:r>
      <w:r>
        <w:rPr>
          <w:rFonts w:ascii="Calibri" w:hAnsi="Calibri"/>
          <w:sz w:val="22"/>
        </w:rPr>
        <w:t>The industry is transitioning from RPA-based task automation (UiPath, Automation Anywhere) to multi-agent AI systems that autonomously execute end-to-end O2C workflows. SAP itself now ships 40+ specialized AI agents and 2,400+ Joule Skills, signaling that the incumbent is racing to own this layer.</w:t>
      </w:r>
    </w:p>
    <w:p>
      <w:pPr>
        <w:pStyle w:val="ListBullet"/>
      </w:pPr>
      <w:r>
        <w:rPr>
          <w:rFonts w:ascii="Calibri" w:hAnsi="Calibri"/>
          <w:b/>
          <w:sz w:val="22"/>
        </w:rPr>
        <w:t xml:space="preserve">MCP as the New Integration Standard: </w:t>
      </w:r>
      <w:r>
        <w:rPr>
          <w:rFonts w:ascii="Calibri" w:hAnsi="Calibri"/>
          <w:sz w:val="22"/>
        </w:rPr>
        <w:t>The Model Context Protocol has emerged as the standard for connecting AI agents to SAP systems. AWS, SAP, and third-party vendors all support MCP-based OData API exposure, validating the architectural approach used in the SAP-O2C-Automation repository.</w:t>
      </w:r>
    </w:p>
    <w:p>
      <w:pPr>
        <w:pStyle w:val="ListBullet"/>
      </w:pPr>
      <w:r>
        <w:rPr>
          <w:rFonts w:ascii="Calibri" w:hAnsi="Calibri"/>
          <w:b/>
          <w:sz w:val="22"/>
        </w:rPr>
        <w:t xml:space="preserve">VC Capital Flowing In: </w:t>
      </w:r>
      <w:r>
        <w:rPr>
          <w:rFonts w:ascii="Calibri" w:hAnsi="Calibri"/>
          <w:sz w:val="22"/>
        </w:rPr>
        <w:t>Tessera Labs raised $60M Series A (a16z-led, May 2026) for multi-agent SAP/ERP migration. HighRadius is valued at $3.1B. Celonis targets $15-20B IPO. Y Combinator is explicitly requesting startups that attack ERP workflows with AI-native approaches.</w:t>
      </w:r>
    </w:p>
    <w:p>
      <w:pPr>
        <w:pStyle w:val="ListBullet"/>
      </w:pPr>
      <w:r>
        <w:rPr>
          <w:rFonts w:ascii="Calibri" w:hAnsi="Calibri"/>
          <w:b/>
          <w:sz w:val="22"/>
        </w:rPr>
        <w:t xml:space="preserve">Open-Source Advantage: </w:t>
      </w:r>
      <w:r>
        <w:rPr>
          <w:rFonts w:ascii="Calibri" w:hAnsi="Calibri"/>
          <w:sz w:val="22"/>
        </w:rPr>
        <w:t>The SAP-O2C-Automation repository demonstrates a zero-cost, open-source architecture (Google ADK + Gemini free tier + MCP) that replaces 17 Power Automate flows with 4 Python classes. This architectural efficiency aligns with the "autopilot" model that Sequoia and Emergence Capital identify as the winning approach.</w:t>
      </w:r>
    </w:p>
    <w:p>
      <w:r>
        <w:br w:type="page"/>
      </w:r>
    </w:p>
    <w:p>
      <w:pPr>
        <w:pStyle w:val="Heading1"/>
      </w:pPr>
      <w:r>
        <w:t>2. Market Signal Analysis</w:t>
      </w:r>
    </w:p>
    <w:p>
      <w:pPr>
        <w:pStyle w:val="Heading2"/>
      </w:pPr>
      <w:r>
        <w:t>What Just Happened</w:t>
      </w:r>
    </w:p>
    <w:p>
      <w:r>
        <w:t>Between Q4 2025 and Q2 2026, three market signals converged to reshape the SAP automation landscape:</w:t>
      </w:r>
    </w:p>
    <w:p>
      <w:pPr>
        <w:pStyle w:val="ListBullet"/>
      </w:pPr>
      <w:r>
        <w:rPr>
          <w:rFonts w:ascii="Calibri" w:hAnsi="Calibri"/>
          <w:b/>
          <w:sz w:val="22"/>
        </w:rPr>
        <w:t xml:space="preserve">SAP Joule Studio GA (Q1 2026): </w:t>
      </w:r>
      <w:r>
        <w:rPr>
          <w:rFonts w:ascii="Calibri" w:hAnsi="Calibri"/>
          <w:sz w:val="22"/>
        </w:rPr>
        <w:t>SAP made its agent builder generally available, enabling enterprises to design custom AI agents using SAP business knowledge. This signals SAP's intent to own the agentic automation layer within its ecosystem, creating both opportunities and threats for third-party solutions.</w:t>
      </w:r>
    </w:p>
    <w:p>
      <w:pPr>
        <w:pStyle w:val="ListBullet"/>
      </w:pPr>
      <w:r>
        <w:rPr>
          <w:rFonts w:ascii="Calibri" w:hAnsi="Calibri"/>
          <w:b/>
          <w:sz w:val="22"/>
        </w:rPr>
        <w:t xml:space="preserve">Tessera Labs $60M Series A (May 2026): </w:t>
      </w:r>
      <w:r>
        <w:rPr>
          <w:rFonts w:ascii="Calibri" w:hAnsi="Calibri"/>
          <w:sz w:val="22"/>
        </w:rPr>
        <w:t>Andreessen Horowitz led a $60M round for a multi-agent AI platform targeting SAP/ERP modernization, validating that top-tier VCs see multi-agent SAP automation as a billion-dollar opportunity. The company targets the $500B systems integrator market.</w:t>
      </w:r>
    </w:p>
    <w:p>
      <w:pPr>
        <w:pStyle w:val="ListBullet"/>
      </w:pPr>
      <w:r>
        <w:rPr>
          <w:rFonts w:ascii="Calibri" w:hAnsi="Calibri"/>
          <w:b/>
          <w:sz w:val="22"/>
        </w:rPr>
        <w:t xml:space="preserve">MCP Ecosystem Maturation: </w:t>
      </w:r>
      <w:r>
        <w:rPr>
          <w:rFonts w:ascii="Calibri" w:hAnsi="Calibri"/>
          <w:sz w:val="22"/>
        </w:rPr>
        <w:t>AWS launched the AWS for SAP MCP Server, SAP integrated MCP into BTP, and third-party vendors (K2View, Theobald) released MCP connectors for SAP OData. The protocol is now production-ready for enterprise SAP integration.</w:t>
      </w:r>
    </w:p>
    <w:p>
      <w:pPr>
        <w:pStyle w:val="Heading2"/>
      </w:pPr>
      <w:r>
        <w:t>SAP Business AI Release Timeline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Quarter</w:t>
            </w:r>
          </w:p>
        </w:tc>
        <w:tc>
          <w:tcPr>
            <w:tcW w:type="dxa" w:w="2880"/>
          </w:tcPr>
          <w:p>
            <w:r>
              <w:rPr>
                <w:rFonts w:ascii="Calibri" w:hAnsi="Calibri"/>
                <w:b/>
                <w:sz w:val="20"/>
              </w:rPr>
              <w:t>Release</w:t>
            </w:r>
          </w:p>
        </w:tc>
        <w:tc>
          <w:tcPr>
            <w:tcW w:type="dxa" w:w="2880"/>
          </w:tcPr>
          <w:p>
            <w:r>
              <w:rPr>
                <w:rFonts w:ascii="Calibri" w:hAnsi="Calibri"/>
                <w:b/>
                <w:sz w:val="20"/>
              </w:rPr>
              <w:t>O2C Impact</w:t>
            </w:r>
          </w:p>
        </w:tc>
      </w:tr>
      <w:tr>
        <w:tc>
          <w:tcPr>
            <w:tcW w:type="dxa" w:w="2880"/>
          </w:tcPr>
          <w:p>
            <w:r>
              <w:rPr>
                <w:rFonts w:ascii="Calibri" w:hAnsi="Calibri"/>
                <w:sz w:val="20"/>
              </w:rPr>
              <w:t>Q4 2025</w:t>
            </w:r>
          </w:p>
        </w:tc>
        <w:tc>
          <w:tcPr>
            <w:tcW w:type="dxa" w:w="2880"/>
          </w:tcPr>
          <w:p>
            <w:r>
              <w:rPr>
                <w:rFonts w:ascii="Calibri" w:hAnsi="Calibri"/>
                <w:sz w:val="20"/>
              </w:rPr>
              <w:t>SAP Business AI Q4 highlights</w:t>
            </w:r>
          </w:p>
        </w:tc>
        <w:tc>
          <w:tcPr>
            <w:tcW w:type="dxa" w:w="2880"/>
          </w:tcPr>
          <w:p>
            <w:r>
              <w:rPr>
                <w:rFonts w:ascii="Calibri" w:hAnsi="Calibri"/>
                <w:sz w:val="20"/>
              </w:rPr>
              <w:t>Dispute Resolution Agent, PDF-to-sales-order conversion</w:t>
            </w:r>
          </w:p>
        </w:tc>
      </w:tr>
      <w:tr>
        <w:tc>
          <w:tcPr>
            <w:tcW w:type="dxa" w:w="2880"/>
          </w:tcPr>
          <w:p>
            <w:r>
              <w:rPr>
                <w:rFonts w:ascii="Calibri" w:hAnsi="Calibri"/>
                <w:sz w:val="20"/>
              </w:rPr>
              <w:t>Q1 2026</w:t>
            </w:r>
          </w:p>
        </w:tc>
        <w:tc>
          <w:tcPr>
            <w:tcW w:type="dxa" w:w="2880"/>
          </w:tcPr>
          <w:p>
            <w:r>
              <w:rPr>
                <w:rFonts w:ascii="Calibri" w:hAnsi="Calibri"/>
                <w:sz w:val="20"/>
              </w:rPr>
              <w:t>Joule Studio GA</w:t>
            </w:r>
          </w:p>
        </w:tc>
        <w:tc>
          <w:tcPr>
            <w:tcW w:type="dxa" w:w="2880"/>
          </w:tcPr>
          <w:p>
            <w:r>
              <w:rPr>
                <w:rFonts w:ascii="Calibri" w:hAnsi="Calibri"/>
                <w:sz w:val="20"/>
              </w:rPr>
              <w:t>Custom agent builder for O2C workflows</w:t>
            </w:r>
          </w:p>
        </w:tc>
      </w:tr>
      <w:tr>
        <w:tc>
          <w:tcPr>
            <w:tcW w:type="dxa" w:w="2880"/>
          </w:tcPr>
          <w:p>
            <w:r>
              <w:rPr>
                <w:rFonts w:ascii="Calibri" w:hAnsi="Calibri"/>
                <w:sz w:val="20"/>
              </w:rPr>
              <w:t>Q1 2026</w:t>
            </w:r>
          </w:p>
        </w:tc>
        <w:tc>
          <w:tcPr>
            <w:tcW w:type="dxa" w:w="2880"/>
          </w:tcPr>
          <w:p>
            <w:r>
              <w:rPr>
                <w:rFonts w:ascii="Calibri" w:hAnsi="Calibri"/>
                <w:sz w:val="20"/>
              </w:rPr>
              <w:t>Joule + Signavio integration</w:t>
            </w:r>
          </w:p>
        </w:tc>
        <w:tc>
          <w:tcPr>
            <w:tcW w:type="dxa" w:w="2880"/>
          </w:tcPr>
          <w:p>
            <w:r>
              <w:rPr>
                <w:rFonts w:ascii="Calibri" w:hAnsi="Calibri"/>
                <w:sz w:val="20"/>
              </w:rPr>
              <w:t>Process mining combined with agent orchestration</w:t>
            </w:r>
          </w:p>
        </w:tc>
      </w:tr>
      <w:tr>
        <w:tc>
          <w:tcPr>
            <w:tcW w:type="dxa" w:w="2880"/>
          </w:tcPr>
          <w:p>
            <w:r>
              <w:rPr>
                <w:rFonts w:ascii="Calibri" w:hAnsi="Calibri"/>
                <w:sz w:val="20"/>
              </w:rPr>
              <w:t>Q1 2026</w:t>
            </w:r>
          </w:p>
        </w:tc>
        <w:tc>
          <w:tcPr>
            <w:tcW w:type="dxa" w:w="2880"/>
          </w:tcPr>
          <w:p>
            <w:r>
              <w:rPr>
                <w:rFonts w:ascii="Calibri" w:hAnsi="Calibri"/>
                <w:sz w:val="20"/>
              </w:rPr>
              <w:t>Cash Management Agent</w:t>
            </w:r>
          </w:p>
        </w:tc>
        <w:tc>
          <w:tcPr>
            <w:tcW w:type="dxa" w:w="2880"/>
          </w:tcPr>
          <w:p>
            <w:r>
              <w:rPr>
                <w:rFonts w:ascii="Calibri" w:hAnsi="Calibri"/>
                <w:sz w:val="20"/>
              </w:rPr>
              <w:t>Automated bank statement reconciliation (70% time savings)</w:t>
            </w:r>
          </w:p>
        </w:tc>
      </w:tr>
      <w:tr>
        <w:tc>
          <w:tcPr>
            <w:tcW w:type="dxa" w:w="2880"/>
          </w:tcPr>
          <w:p>
            <w:r>
              <w:rPr>
                <w:rFonts w:ascii="Calibri" w:hAnsi="Calibri"/>
                <w:sz w:val="20"/>
              </w:rPr>
              <w:t>Q2 2026</w:t>
            </w:r>
          </w:p>
        </w:tc>
        <w:tc>
          <w:tcPr>
            <w:tcW w:type="dxa" w:w="2880"/>
          </w:tcPr>
          <w:p>
            <w:r>
              <w:rPr>
                <w:rFonts w:ascii="Calibri" w:hAnsi="Calibri"/>
                <w:sz w:val="20"/>
              </w:rPr>
              <w:t>2,500+ Joule Skills</w:t>
            </w:r>
          </w:p>
        </w:tc>
        <w:tc>
          <w:tcPr>
            <w:tcW w:type="dxa" w:w="2880"/>
          </w:tcPr>
          <w:p>
            <w:r>
              <w:rPr>
                <w:rFonts w:ascii="Calibri" w:hAnsi="Calibri"/>
                <w:sz w:val="20"/>
              </w:rPr>
              <w:t>Comprehensive coverage of O2C sub-processes</w:t>
            </w:r>
          </w:p>
        </w:tc>
      </w:tr>
      <w:tr>
        <w:tc>
          <w:tcPr>
            <w:tcW w:type="dxa" w:w="2880"/>
          </w:tcPr>
          <w:p>
            <w:r>
              <w:rPr>
                <w:rFonts w:ascii="Calibri" w:hAnsi="Calibri"/>
                <w:sz w:val="20"/>
              </w:rPr>
              <w:t>2026 Roadmap</w:t>
            </w:r>
          </w:p>
        </w:tc>
        <w:tc>
          <w:tcPr>
            <w:tcW w:type="dxa" w:w="2880"/>
          </w:tcPr>
          <w:p>
            <w:r>
              <w:rPr>
                <w:rFonts w:ascii="Calibri" w:hAnsi="Calibri"/>
                <w:sz w:val="20"/>
              </w:rPr>
              <w:t>Joule for Developers (ABAP AI)</w:t>
            </w:r>
          </w:p>
        </w:tc>
        <w:tc>
          <w:tcPr>
            <w:tcW w:type="dxa" w:w="2880"/>
          </w:tcPr>
          <w:p>
            <w:r>
              <w:rPr>
                <w:rFonts w:ascii="Calibri" w:hAnsi="Calibri"/>
                <w:sz w:val="20"/>
              </w:rPr>
              <w:t>Custom ABAP-based agent development</w:t>
            </w:r>
          </w:p>
        </w:tc>
      </w:tr>
    </w:tbl>
    <w:p/>
    <w:p>
      <w:pPr>
        <w:pStyle w:val="Heading2"/>
      </w:pPr>
      <w:r>
        <w:t>Why It Matters</w:t>
      </w:r>
    </w:p>
    <w:p>
      <w:r>
        <w:t>These signals indicate that the window for independent SAP O2C automation solutions is narrowing but still open. SAP is building the platform layer (Joule Studio, MCP integration), but the application layer -- purpose-built multi-agent systems for specific O2C workflows -- remains fragmented. The SAP-O2C-Automation repository's architecture (Google ADK + MCP) positions it at the application layer, potentially complementing rather than competing with SAP's own platform investments.</w:t>
      </w:r>
    </w:p>
    <w:p>
      <w:r>
        <w:br w:type="page"/>
      </w:r>
    </w:p>
    <w:p>
      <w:pPr>
        <w:pStyle w:val="Heading1"/>
      </w:pPr>
      <w:r>
        <w:t>3. Macro Thesis: VC Frameworks Applied</w:t>
      </w:r>
    </w:p>
    <w:p>
      <w:pPr>
        <w:pStyle w:val="Heading2"/>
      </w:pPr>
      <w:r>
        <w:t>Sequoia: Copilot vs. Autopilot Framework</w:t>
      </w:r>
    </w:p>
    <w:p>
      <w:pPr>
        <w:ind w:left="850" w:right="567"/>
      </w:pPr>
      <w:r>
        <w:rPr>
          <w:rFonts w:ascii="Calibri" w:hAnsi="Calibri"/>
          <w:i/>
          <w:color w:val="555555"/>
          <w:sz w:val="22"/>
        </w:rPr>
        <w:t>"The next $1T company will be a software company masquerading as a services firm. A copilot sells the tool; an autopilot sells the work."</w:t>
      </w:r>
    </w:p>
    <w:p>
      <w:r>
        <w:t>Applied to SAP O2C, the distinction is critical: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Dimension</w:t>
            </w:r>
          </w:p>
        </w:tc>
        <w:tc>
          <w:tcPr>
            <w:tcW w:type="dxa" w:w="2880"/>
          </w:tcPr>
          <w:p>
            <w:r>
              <w:rPr>
                <w:rFonts w:ascii="Calibri" w:hAnsi="Calibri"/>
                <w:b/>
                <w:sz w:val="20"/>
              </w:rPr>
              <w:t>Copilot Model</w:t>
            </w:r>
          </w:p>
        </w:tc>
        <w:tc>
          <w:tcPr>
            <w:tcW w:type="dxa" w:w="2880"/>
          </w:tcPr>
          <w:p>
            <w:r>
              <w:rPr>
                <w:rFonts w:ascii="Calibri" w:hAnsi="Calibri"/>
                <w:b/>
                <w:sz w:val="20"/>
              </w:rPr>
              <w:t>Autopilot Model</w:t>
            </w:r>
          </w:p>
        </w:tc>
      </w:tr>
      <w:tr>
        <w:tc>
          <w:tcPr>
            <w:tcW w:type="dxa" w:w="2880"/>
          </w:tcPr>
          <w:p>
            <w:r>
              <w:rPr>
                <w:rFonts w:ascii="Calibri" w:hAnsi="Calibri"/>
                <w:sz w:val="20"/>
              </w:rPr>
              <w:t>What is sold</w:t>
            </w:r>
          </w:p>
        </w:tc>
        <w:tc>
          <w:tcPr>
            <w:tcW w:type="dxa" w:w="2880"/>
          </w:tcPr>
          <w:p>
            <w:r>
              <w:rPr>
                <w:rFonts w:ascii="Calibri" w:hAnsi="Calibri"/>
                <w:sz w:val="20"/>
              </w:rPr>
              <w:t>AI tools for AR analysts</w:t>
            </w:r>
          </w:p>
        </w:tc>
        <w:tc>
          <w:tcPr>
            <w:tcW w:type="dxa" w:w="2880"/>
          </w:tcPr>
          <w:p>
            <w:r>
              <w:rPr>
                <w:rFonts w:ascii="Calibri" w:hAnsi="Calibri"/>
                <w:sz w:val="20"/>
              </w:rPr>
              <w:t>Completed O2C work (invoices processed, cash applied)</w:t>
            </w:r>
          </w:p>
        </w:tc>
      </w:tr>
      <w:tr>
        <w:tc>
          <w:tcPr>
            <w:tcW w:type="dxa" w:w="2880"/>
          </w:tcPr>
          <w:p>
            <w:r>
              <w:rPr>
                <w:rFonts w:ascii="Calibri" w:hAnsi="Calibri"/>
                <w:sz w:val="20"/>
              </w:rPr>
              <w:t>Customer</w:t>
            </w:r>
          </w:p>
        </w:tc>
        <w:tc>
          <w:tcPr>
            <w:tcW w:type="dxa" w:w="2880"/>
          </w:tcPr>
          <w:p>
            <w:r>
              <w:rPr>
                <w:rFonts w:ascii="Calibri" w:hAnsi="Calibri"/>
                <w:sz w:val="20"/>
              </w:rPr>
              <w:t>SAP finance team</w:t>
            </w:r>
          </w:p>
        </w:tc>
        <w:tc>
          <w:tcPr>
            <w:tcW w:type="dxa" w:w="2880"/>
          </w:tcPr>
          <w:p>
            <w:r>
              <w:rPr>
                <w:rFonts w:ascii="Calibri" w:hAnsi="Calibri"/>
                <w:sz w:val="20"/>
              </w:rPr>
              <w:t>CFO / business unit</w:t>
            </w:r>
          </w:p>
        </w:tc>
      </w:tr>
      <w:tr>
        <w:tc>
          <w:tcPr>
            <w:tcW w:type="dxa" w:w="2880"/>
          </w:tcPr>
          <w:p>
            <w:r>
              <w:rPr>
                <w:rFonts w:ascii="Calibri" w:hAnsi="Calibri"/>
                <w:sz w:val="20"/>
              </w:rPr>
              <w:t>Pricing</w:t>
            </w:r>
          </w:p>
        </w:tc>
        <w:tc>
          <w:tcPr>
            <w:tcW w:type="dxa" w:w="2880"/>
          </w:tcPr>
          <w:p>
            <w:r>
              <w:rPr>
                <w:rFonts w:ascii="Calibri" w:hAnsi="Calibri"/>
                <w:sz w:val="20"/>
              </w:rPr>
              <w:t>Per-seat SaaS license</w:t>
            </w:r>
          </w:p>
        </w:tc>
        <w:tc>
          <w:tcPr>
            <w:tcW w:type="dxa" w:w="2880"/>
          </w:tcPr>
          <w:p>
            <w:r>
              <w:rPr>
                <w:rFonts w:ascii="Calibri" w:hAnsi="Calibri"/>
                <w:sz w:val="20"/>
              </w:rPr>
              <w:t>Per-transaction or outcome-based</w:t>
            </w:r>
          </w:p>
        </w:tc>
      </w:tr>
      <w:tr>
        <w:tc>
          <w:tcPr>
            <w:tcW w:type="dxa" w:w="2880"/>
          </w:tcPr>
          <w:p>
            <w:r>
              <w:rPr>
                <w:rFonts w:ascii="Calibri" w:hAnsi="Calibri"/>
                <w:sz w:val="20"/>
              </w:rPr>
              <w:t>Example</w:t>
            </w:r>
          </w:p>
        </w:tc>
        <w:tc>
          <w:tcPr>
            <w:tcW w:type="dxa" w:w="2880"/>
          </w:tcPr>
          <w:p>
            <w:r>
              <w:rPr>
                <w:rFonts w:ascii="Calibri" w:hAnsi="Calibri"/>
                <w:sz w:val="20"/>
              </w:rPr>
              <w:t>HighRadius AR dashboard</w:t>
            </w:r>
          </w:p>
        </w:tc>
        <w:tc>
          <w:tcPr>
            <w:tcW w:type="dxa" w:w="2880"/>
          </w:tcPr>
          <w:p>
            <w:r>
              <w:rPr>
                <w:rFonts w:ascii="Calibri" w:hAnsi="Calibri"/>
                <w:sz w:val="20"/>
              </w:rPr>
              <w:t>Autonomous cash application with 95%+ match rate</w:t>
            </w:r>
          </w:p>
        </w:tc>
      </w:tr>
      <w:tr>
        <w:tc>
          <w:tcPr>
            <w:tcW w:type="dxa" w:w="2880"/>
          </w:tcPr>
          <w:p>
            <w:r>
              <w:rPr>
                <w:rFonts w:ascii="Calibri" w:hAnsi="Calibri"/>
                <w:sz w:val="20"/>
              </w:rPr>
              <w:t>TAM capture</w:t>
            </w:r>
          </w:p>
        </w:tc>
        <w:tc>
          <w:tcPr>
            <w:tcW w:type="dxa" w:w="2880"/>
          </w:tcPr>
          <w:p>
            <w:r>
              <w:rPr>
                <w:rFonts w:ascii="Calibri" w:hAnsi="Calibri"/>
                <w:sz w:val="20"/>
              </w:rPr>
              <w:t>Tool budget ($5-50K/seat)</w:t>
            </w:r>
          </w:p>
        </w:tc>
        <w:tc>
          <w:tcPr>
            <w:tcW w:type="dxa" w:w="2880"/>
          </w:tcPr>
          <w:p>
            <w:r>
              <w:rPr>
                <w:rFonts w:ascii="Calibri" w:hAnsi="Calibri"/>
                <w:sz w:val="20"/>
              </w:rPr>
              <w:t>Work budget ($500K-5M/engagement)</w:t>
            </w:r>
          </w:p>
        </w:tc>
      </w:tr>
      <w:tr>
        <w:tc>
          <w:tcPr>
            <w:tcW w:type="dxa" w:w="2880"/>
          </w:tcPr>
          <w:p>
            <w:r>
              <w:rPr>
                <w:rFonts w:ascii="Calibri" w:hAnsi="Calibri"/>
                <w:sz w:val="20"/>
              </w:rPr>
              <w:t>Moat</w:t>
            </w:r>
          </w:p>
        </w:tc>
        <w:tc>
          <w:tcPr>
            <w:tcW w:type="dxa" w:w="2880"/>
          </w:tcPr>
          <w:p>
            <w:r>
              <w:rPr>
                <w:rFonts w:ascii="Calibri" w:hAnsi="Calibri"/>
                <w:sz w:val="20"/>
              </w:rPr>
              <w:t>UI/UX, integrations</w:t>
            </w:r>
          </w:p>
        </w:tc>
        <w:tc>
          <w:tcPr>
            <w:tcW w:type="dxa" w:w="2880"/>
          </w:tcPr>
          <w:p>
            <w:r>
              <w:rPr>
                <w:rFonts w:ascii="Calibri" w:hAnsi="Calibri"/>
                <w:sz w:val="20"/>
              </w:rPr>
              <w:t>Proprietary data flywheel, accuracy compounding</w:t>
            </w:r>
          </w:p>
        </w:tc>
      </w:tr>
    </w:tbl>
    <w:p/>
    <w:p>
      <w:r>
        <w:t>The SAP-O2C-Automation repository is architecturally an autopilot -- it uses multi-agent coordination to execute complete O2C workflows (order creation through delivery) autonomously. This positions it in the higher-TAM autopilot category, selling completed work rather than productivity tools.</w:t>
      </w:r>
    </w:p>
    <w:p>
      <w:pPr>
        <w:pStyle w:val="Heading2"/>
      </w:pPr>
      <w:r>
        <w:t>Emergence Capital: Intelligence vs. Judgement</w:t>
      </w:r>
    </w:p>
    <w:p>
      <w:pPr>
        <w:ind w:left="850" w:right="567"/>
      </w:pPr>
      <w:r>
        <w:rPr>
          <w:rFonts w:ascii="Calibri" w:hAnsi="Calibri"/>
          <w:i/>
          <w:color w:val="555555"/>
          <w:sz w:val="22"/>
        </w:rPr>
        <w:t>"Software engineering is primarily intelligence work. AI has crossed the threshold where it can do most of the intelligence work autonomously and leave the judgement to humans."</w:t>
      </w:r>
    </w:p>
    <w:p>
      <w:r>
        <w:t>Applying this framework to SAP O2C sub-processes: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O2C Sub-Process</w:t>
            </w:r>
          </w:p>
        </w:tc>
        <w:tc>
          <w:tcPr>
            <w:tcW w:type="dxa" w:w="2160"/>
          </w:tcPr>
          <w:p>
            <w:r>
              <w:rPr>
                <w:rFonts w:ascii="Calibri" w:hAnsi="Calibri"/>
                <w:b/>
                <w:sz w:val="20"/>
              </w:rPr>
              <w:t>Intelligence (AI-Ready)</w:t>
            </w:r>
          </w:p>
        </w:tc>
        <w:tc>
          <w:tcPr>
            <w:tcW w:type="dxa" w:w="2160"/>
          </w:tcPr>
          <w:p>
            <w:r>
              <w:rPr>
                <w:rFonts w:ascii="Calibri" w:hAnsi="Calibri"/>
                <w:b/>
                <w:sz w:val="20"/>
              </w:rPr>
              <w:t>Judgement (Human-Required)</w:t>
            </w:r>
          </w:p>
        </w:tc>
        <w:tc>
          <w:tcPr>
            <w:tcW w:type="dxa" w:w="2160"/>
          </w:tcPr>
          <w:p>
            <w:r>
              <w:rPr>
                <w:rFonts w:ascii="Calibri" w:hAnsi="Calibri"/>
                <w:b/>
                <w:sz w:val="20"/>
              </w:rPr>
              <w:t>AI Readiness</w:t>
            </w:r>
          </w:p>
        </w:tc>
      </w:tr>
      <w:tr>
        <w:tc>
          <w:tcPr>
            <w:tcW w:type="dxa" w:w="2160"/>
          </w:tcPr>
          <w:p>
            <w:r>
              <w:rPr>
                <w:rFonts w:ascii="Calibri" w:hAnsi="Calibri"/>
                <w:sz w:val="20"/>
              </w:rPr>
              <w:t>Order Entry</w:t>
            </w:r>
          </w:p>
        </w:tc>
        <w:tc>
          <w:tcPr>
            <w:tcW w:type="dxa" w:w="2160"/>
          </w:tcPr>
          <w:p>
            <w:r>
              <w:rPr>
                <w:rFonts w:ascii="Calibri" w:hAnsi="Calibri"/>
                <w:sz w:val="20"/>
              </w:rPr>
              <w:t>Data extraction, validation, pricing lookup</w:t>
            </w:r>
          </w:p>
        </w:tc>
        <w:tc>
          <w:tcPr>
            <w:tcW w:type="dxa" w:w="2160"/>
          </w:tcPr>
          <w:p>
            <w:r>
              <w:rPr>
                <w:rFonts w:ascii="Calibri" w:hAnsi="Calibri"/>
                <w:sz w:val="20"/>
              </w:rPr>
              <w:t>Custom terms negotiation, strategic discounting</w:t>
            </w:r>
          </w:p>
        </w:tc>
        <w:tc>
          <w:tcPr>
            <w:tcW w:type="dxa" w:w="2160"/>
          </w:tcPr>
          <w:p>
            <w:r>
              <w:rPr>
                <w:rFonts w:ascii="Calibri" w:hAnsi="Calibri"/>
                <w:sz w:val="20"/>
              </w:rPr>
              <w:t>High</w:t>
            </w:r>
          </w:p>
        </w:tc>
      </w:tr>
      <w:tr>
        <w:tc>
          <w:tcPr>
            <w:tcW w:type="dxa" w:w="2160"/>
          </w:tcPr>
          <w:p>
            <w:r>
              <w:rPr>
                <w:rFonts w:ascii="Calibri" w:hAnsi="Calibri"/>
                <w:sz w:val="20"/>
              </w:rPr>
              <w:t>Credit Check</w:t>
            </w:r>
          </w:p>
        </w:tc>
        <w:tc>
          <w:tcPr>
            <w:tcW w:type="dxa" w:w="2160"/>
          </w:tcPr>
          <w:p>
            <w:r>
              <w:rPr>
                <w:rFonts w:ascii="Calibri" w:hAnsi="Calibri"/>
                <w:sz w:val="20"/>
              </w:rPr>
              <w:t>Score calculation, risk modeling, limit enforcement</w:t>
            </w:r>
          </w:p>
        </w:tc>
        <w:tc>
          <w:tcPr>
            <w:tcW w:type="dxa" w:w="2160"/>
          </w:tcPr>
          <w:p>
            <w:r>
              <w:rPr>
                <w:rFonts w:ascii="Calibri" w:hAnsi="Calibri"/>
                <w:sz w:val="20"/>
              </w:rPr>
              <w:t>Override decisions for strategic accounts</w:t>
            </w:r>
          </w:p>
        </w:tc>
        <w:tc>
          <w:tcPr>
            <w:tcW w:type="dxa" w:w="2160"/>
          </w:tcPr>
          <w:p>
            <w:r>
              <w:rPr>
                <w:rFonts w:ascii="Calibri" w:hAnsi="Calibri"/>
                <w:sz w:val="20"/>
              </w:rPr>
              <w:t>Very High</w:t>
            </w:r>
          </w:p>
        </w:tc>
      </w:tr>
      <w:tr>
        <w:tc>
          <w:tcPr>
            <w:tcW w:type="dxa" w:w="2160"/>
          </w:tcPr>
          <w:p>
            <w:r>
              <w:rPr>
                <w:rFonts w:ascii="Calibri" w:hAnsi="Calibri"/>
                <w:sz w:val="20"/>
              </w:rPr>
              <w:t>Delivery Scheduling</w:t>
            </w:r>
          </w:p>
        </w:tc>
        <w:tc>
          <w:tcPr>
            <w:tcW w:type="dxa" w:w="2160"/>
          </w:tcPr>
          <w:p>
            <w:r>
              <w:rPr>
                <w:rFonts w:ascii="Calibri" w:hAnsi="Calibri"/>
                <w:sz w:val="20"/>
              </w:rPr>
              <w:t>Route optimization, inventory matching, ATP check</w:t>
            </w:r>
          </w:p>
        </w:tc>
        <w:tc>
          <w:tcPr>
            <w:tcW w:type="dxa" w:w="2160"/>
          </w:tcPr>
          <w:p>
            <w:r>
              <w:rPr>
                <w:rFonts w:ascii="Calibri" w:hAnsi="Calibri"/>
                <w:sz w:val="20"/>
              </w:rPr>
              <w:t>Exception handling for VIP customers</w:t>
            </w:r>
          </w:p>
        </w:tc>
        <w:tc>
          <w:tcPr>
            <w:tcW w:type="dxa" w:w="2160"/>
          </w:tcPr>
          <w:p>
            <w:r>
              <w:rPr>
                <w:rFonts w:ascii="Calibri" w:hAnsi="Calibri"/>
                <w:sz w:val="20"/>
              </w:rPr>
              <w:t>High</w:t>
            </w:r>
          </w:p>
        </w:tc>
      </w:tr>
      <w:tr>
        <w:tc>
          <w:tcPr>
            <w:tcW w:type="dxa" w:w="2160"/>
          </w:tcPr>
          <w:p>
            <w:r>
              <w:rPr>
                <w:rFonts w:ascii="Calibri" w:hAnsi="Calibri"/>
                <w:sz w:val="20"/>
              </w:rPr>
              <w:t>Billing/Invoicing</w:t>
            </w:r>
          </w:p>
        </w:tc>
        <w:tc>
          <w:tcPr>
            <w:tcW w:type="dxa" w:w="2160"/>
          </w:tcPr>
          <w:p>
            <w:r>
              <w:rPr>
                <w:rFonts w:ascii="Calibri" w:hAnsi="Calibri"/>
                <w:sz w:val="20"/>
              </w:rPr>
              <w:t>Invoice generation, tax calculation, format compliance</w:t>
            </w:r>
          </w:p>
        </w:tc>
        <w:tc>
          <w:tcPr>
            <w:tcW w:type="dxa" w:w="2160"/>
          </w:tcPr>
          <w:p>
            <w:r>
              <w:rPr>
                <w:rFonts w:ascii="Calibri" w:hAnsi="Calibri"/>
                <w:sz w:val="20"/>
              </w:rPr>
              <w:t>Dispute resolution escalation</w:t>
            </w:r>
          </w:p>
        </w:tc>
        <w:tc>
          <w:tcPr>
            <w:tcW w:type="dxa" w:w="2160"/>
          </w:tcPr>
          <w:p>
            <w:r>
              <w:rPr>
                <w:rFonts w:ascii="Calibri" w:hAnsi="Calibri"/>
                <w:sz w:val="20"/>
              </w:rPr>
              <w:t>Very High</w:t>
            </w:r>
          </w:p>
        </w:tc>
      </w:tr>
      <w:tr>
        <w:tc>
          <w:tcPr>
            <w:tcW w:type="dxa" w:w="2160"/>
          </w:tcPr>
          <w:p>
            <w:r>
              <w:rPr>
                <w:rFonts w:ascii="Calibri" w:hAnsi="Calibri"/>
                <w:sz w:val="20"/>
              </w:rPr>
              <w:t>Cash Application</w:t>
            </w:r>
          </w:p>
        </w:tc>
        <w:tc>
          <w:tcPr>
            <w:tcW w:type="dxa" w:w="2160"/>
          </w:tcPr>
          <w:p>
            <w:r>
              <w:rPr>
                <w:rFonts w:ascii="Calibri" w:hAnsi="Calibri"/>
                <w:sz w:val="20"/>
              </w:rPr>
              <w:t>Payment-invoice matching, remittance parsing</w:t>
            </w:r>
          </w:p>
        </w:tc>
        <w:tc>
          <w:tcPr>
            <w:tcW w:type="dxa" w:w="2160"/>
          </w:tcPr>
          <w:p>
            <w:r>
              <w:rPr>
                <w:rFonts w:ascii="Calibri" w:hAnsi="Calibri"/>
                <w:sz w:val="20"/>
              </w:rPr>
              <w:t>Ambiguous payment resolution</w:t>
            </w:r>
          </w:p>
        </w:tc>
        <w:tc>
          <w:tcPr>
            <w:tcW w:type="dxa" w:w="2160"/>
          </w:tcPr>
          <w:p>
            <w:r>
              <w:rPr>
                <w:rFonts w:ascii="Calibri" w:hAnsi="Calibri"/>
                <w:sz w:val="20"/>
              </w:rPr>
              <w:t>Very High</w:t>
            </w:r>
          </w:p>
        </w:tc>
      </w:tr>
      <w:tr>
        <w:tc>
          <w:tcPr>
            <w:tcW w:type="dxa" w:w="2160"/>
          </w:tcPr>
          <w:p>
            <w:r>
              <w:rPr>
                <w:rFonts w:ascii="Calibri" w:hAnsi="Calibri"/>
                <w:sz w:val="20"/>
              </w:rPr>
              <w:t>Collections</w:t>
            </w:r>
          </w:p>
        </w:tc>
        <w:tc>
          <w:tcPr>
            <w:tcW w:type="dxa" w:w="2160"/>
          </w:tcPr>
          <w:p>
            <w:r>
              <w:rPr>
                <w:rFonts w:ascii="Calibri" w:hAnsi="Calibri"/>
                <w:sz w:val="20"/>
              </w:rPr>
              <w:t>Dunning sequence execution, risk prioritization</w:t>
            </w:r>
          </w:p>
        </w:tc>
        <w:tc>
          <w:tcPr>
            <w:tcW w:type="dxa" w:w="2160"/>
          </w:tcPr>
          <w:p>
            <w:r>
              <w:rPr>
                <w:rFonts w:ascii="Calibri" w:hAnsi="Calibri"/>
                <w:sz w:val="20"/>
              </w:rPr>
              <w:t>Negotiation, payment plan approval</w:t>
            </w:r>
          </w:p>
        </w:tc>
        <w:tc>
          <w:tcPr>
            <w:tcW w:type="dxa" w:w="2160"/>
          </w:tcPr>
          <w:p>
            <w:r>
              <w:rPr>
                <w:rFonts w:ascii="Calibri" w:hAnsi="Calibri"/>
                <w:sz w:val="20"/>
              </w:rPr>
              <w:t>Medium-High</w:t>
            </w:r>
          </w:p>
        </w:tc>
      </w:tr>
      <w:tr>
        <w:tc>
          <w:tcPr>
            <w:tcW w:type="dxa" w:w="2160"/>
          </w:tcPr>
          <w:p>
            <w:r>
              <w:rPr>
                <w:rFonts w:ascii="Calibri" w:hAnsi="Calibri"/>
                <w:sz w:val="20"/>
              </w:rPr>
              <w:t>Deduction Management</w:t>
            </w:r>
          </w:p>
        </w:tc>
        <w:tc>
          <w:tcPr>
            <w:tcW w:type="dxa" w:w="2160"/>
          </w:tcPr>
          <w:p>
            <w:r>
              <w:rPr>
                <w:rFonts w:ascii="Calibri" w:hAnsi="Calibri"/>
                <w:sz w:val="20"/>
              </w:rPr>
              <w:t>Validity prediction, documentation matching</w:t>
            </w:r>
          </w:p>
        </w:tc>
        <w:tc>
          <w:tcPr>
            <w:tcW w:type="dxa" w:w="2160"/>
          </w:tcPr>
          <w:p>
            <w:r>
              <w:rPr>
                <w:rFonts w:ascii="Calibri" w:hAnsi="Calibri"/>
                <w:sz w:val="20"/>
              </w:rPr>
              <w:t>Strategic write-off decisions</w:t>
            </w:r>
          </w:p>
        </w:tc>
        <w:tc>
          <w:tcPr>
            <w:tcW w:type="dxa" w:w="2160"/>
          </w:tcPr>
          <w:p>
            <w:r>
              <w:rPr>
                <w:rFonts w:ascii="Calibri" w:hAnsi="Calibri"/>
                <w:sz w:val="20"/>
              </w:rPr>
              <w:t>High</w:t>
            </w:r>
          </w:p>
        </w:tc>
      </w:tr>
    </w:tbl>
    <w:p/>
    <w:p>
      <w:pPr>
        <w:pStyle w:val="Heading2"/>
      </w:pPr>
      <w:r>
        <w:t>Emergence Capital: AI-Native Services Playbook</w:t>
      </w:r>
    </w:p>
    <w:p>
      <w:r>
        <w:t>Emergence Capital defines AI-native services (AINS) as companies that "collapse software and services into an integrated system where AI handles a material share of work delivery while maintaining high gross margins and superior customer outcomes." Key principles applied to SAP O2C:</w:t>
      </w:r>
    </w:p>
    <w:p>
      <w:pPr>
        <w:pStyle w:val="ListBullet"/>
      </w:pPr>
      <w:r>
        <w:rPr>
          <w:rFonts w:ascii="Calibri" w:hAnsi="Calibri"/>
          <w:b/>
          <w:sz w:val="22"/>
        </w:rPr>
        <w:t xml:space="preserve">Data Flywheel: </w:t>
      </w:r>
      <w:r>
        <w:rPr>
          <w:rFonts w:ascii="Calibri" w:hAnsi="Calibri"/>
          <w:sz w:val="22"/>
        </w:rPr>
        <w:t>Every O2C transaction processed generates training data that improves AI matching accuracy, credit predictions, and collection strategies -- creating compounding advantages.</w:t>
      </w:r>
    </w:p>
    <w:p>
      <w:pPr>
        <w:pStyle w:val="ListBullet"/>
      </w:pPr>
      <w:r>
        <w:rPr>
          <w:rFonts w:ascii="Calibri" w:hAnsi="Calibri"/>
          <w:b/>
          <w:sz w:val="22"/>
        </w:rPr>
        <w:t xml:space="preserve">Pricing Evolution: </w:t>
      </w:r>
      <w:r>
        <w:rPr>
          <w:rFonts w:ascii="Calibri" w:hAnsi="Calibri"/>
          <w:sz w:val="22"/>
        </w:rPr>
        <w:t>Move from SaaS licenses to outcome-based pricing: charge per invoice processed, per payment matched, or per dollar collected. This aligns incentives and captures more value.</w:t>
      </w:r>
    </w:p>
    <w:p>
      <w:pPr>
        <w:pStyle w:val="ListBullet"/>
      </w:pPr>
      <w:r>
        <w:rPr>
          <w:rFonts w:ascii="Calibri" w:hAnsi="Calibri"/>
          <w:b/>
          <w:sz w:val="22"/>
        </w:rPr>
        <w:t xml:space="preserve">North Star Metric: </w:t>
      </w:r>
      <w:r>
        <w:rPr>
          <w:rFonts w:ascii="Calibri" w:hAnsi="Calibri"/>
          <w:sz w:val="22"/>
        </w:rPr>
        <w:t>HURT (Human Review Time) -- the percentage of O2C transactions requiring human intervention. Target: reduce from industry average of 60-70% to sub-10% within 24 months.</w:t>
      </w:r>
    </w:p>
    <w:p>
      <w:r>
        <w:br w:type="page"/>
      </w:r>
    </w:p>
    <w:p>
      <w:pPr>
        <w:pStyle w:val="Heading1"/>
      </w:pPr>
      <w:r>
        <w:t>4. Market Sizing &amp; Vertical Analysis</w:t>
      </w:r>
    </w:p>
    <w:p>
      <w:pPr>
        <w:pStyle w:val="Heading2"/>
      </w:pPr>
      <w:r>
        <w:t>Total Addressable Market (TAM)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Market Segment</w:t>
            </w:r>
          </w:p>
        </w:tc>
        <w:tc>
          <w:tcPr>
            <w:tcW w:type="dxa" w:w="1728"/>
          </w:tcPr>
          <w:p>
            <w:r>
              <w:rPr>
                <w:rFonts w:ascii="Calibri" w:hAnsi="Calibri"/>
                <w:b/>
                <w:sz w:val="20"/>
              </w:rPr>
              <w:t>2024 Value</w:t>
            </w:r>
          </w:p>
        </w:tc>
        <w:tc>
          <w:tcPr>
            <w:tcW w:type="dxa" w:w="1728"/>
          </w:tcPr>
          <w:p>
            <w:r>
              <w:rPr>
                <w:rFonts w:ascii="Calibri" w:hAnsi="Calibri"/>
                <w:b/>
                <w:sz w:val="20"/>
              </w:rPr>
              <w:t>2026 Projected</w:t>
            </w:r>
          </w:p>
        </w:tc>
        <w:tc>
          <w:tcPr>
            <w:tcW w:type="dxa" w:w="1728"/>
          </w:tcPr>
          <w:p>
            <w:r>
              <w:rPr>
                <w:rFonts w:ascii="Calibri" w:hAnsi="Calibri"/>
                <w:b/>
                <w:sz w:val="20"/>
              </w:rPr>
              <w:t>2033 Projected</w:t>
            </w:r>
          </w:p>
        </w:tc>
        <w:tc>
          <w:tcPr>
            <w:tcW w:type="dxa" w:w="1728"/>
          </w:tcPr>
          <w:p>
            <w:r>
              <w:rPr>
                <w:rFonts w:ascii="Calibri" w:hAnsi="Calibri"/>
                <w:b/>
                <w:sz w:val="20"/>
              </w:rPr>
              <w:t>CAGR</w:t>
            </w:r>
          </w:p>
        </w:tc>
      </w:tr>
      <w:tr>
        <w:tc>
          <w:tcPr>
            <w:tcW w:type="dxa" w:w="1728"/>
          </w:tcPr>
          <w:p>
            <w:r>
              <w:rPr>
                <w:rFonts w:ascii="Calibri" w:hAnsi="Calibri"/>
                <w:sz w:val="20"/>
              </w:rPr>
              <w:t>O2C Automation AI (Global)</w:t>
            </w:r>
          </w:p>
        </w:tc>
        <w:tc>
          <w:tcPr>
            <w:tcW w:type="dxa" w:w="1728"/>
          </w:tcPr>
          <w:p>
            <w:r>
              <w:rPr>
                <w:rFonts w:ascii="Calibri" w:hAnsi="Calibri"/>
                <w:sz w:val="20"/>
              </w:rPr>
              <w:t>$2.7B</w:t>
            </w:r>
          </w:p>
        </w:tc>
        <w:tc>
          <w:tcPr>
            <w:tcW w:type="dxa" w:w="1728"/>
          </w:tcPr>
          <w:p>
            <w:r>
              <w:rPr>
                <w:rFonts w:ascii="Calibri" w:hAnsi="Calibri"/>
                <w:sz w:val="20"/>
              </w:rPr>
              <w:t>$3.8B</w:t>
            </w:r>
          </w:p>
        </w:tc>
        <w:tc>
          <w:tcPr>
            <w:tcW w:type="dxa" w:w="1728"/>
          </w:tcPr>
          <w:p>
            <w:r>
              <w:rPr>
                <w:rFonts w:ascii="Calibri" w:hAnsi="Calibri"/>
                <w:sz w:val="20"/>
              </w:rPr>
              <w:t>$12.4B</w:t>
            </w:r>
          </w:p>
        </w:tc>
        <w:tc>
          <w:tcPr>
            <w:tcW w:type="dxa" w:w="1728"/>
          </w:tcPr>
          <w:p>
            <w:r>
              <w:rPr>
                <w:rFonts w:ascii="Calibri" w:hAnsi="Calibri"/>
                <w:sz w:val="20"/>
              </w:rPr>
              <w:t>18.1%</w:t>
            </w:r>
          </w:p>
        </w:tc>
      </w:tr>
      <w:tr>
        <w:tc>
          <w:tcPr>
            <w:tcW w:type="dxa" w:w="1728"/>
          </w:tcPr>
          <w:p>
            <w:r>
              <w:rPr>
                <w:rFonts w:ascii="Calibri" w:hAnsi="Calibri"/>
                <w:sz w:val="20"/>
              </w:rPr>
              <w:t>AR Automation Software</w:t>
            </w:r>
          </w:p>
        </w:tc>
        <w:tc>
          <w:tcPr>
            <w:tcW w:type="dxa" w:w="1728"/>
          </w:tcPr>
          <w:p>
            <w:r>
              <w:rPr>
                <w:rFonts w:ascii="Calibri" w:hAnsi="Calibri"/>
                <w:sz w:val="20"/>
              </w:rPr>
              <w:t>$3.0B</w:t>
            </w:r>
          </w:p>
        </w:tc>
        <w:tc>
          <w:tcPr>
            <w:tcW w:type="dxa" w:w="1728"/>
          </w:tcPr>
          <w:p>
            <w:r>
              <w:rPr>
                <w:rFonts w:ascii="Calibri" w:hAnsi="Calibri"/>
                <w:sz w:val="20"/>
              </w:rPr>
              <w:t>$3.8B</w:t>
            </w:r>
          </w:p>
        </w:tc>
        <w:tc>
          <w:tcPr>
            <w:tcW w:type="dxa" w:w="1728"/>
          </w:tcPr>
          <w:p>
            <w:r>
              <w:rPr>
                <w:rFonts w:ascii="Calibri" w:hAnsi="Calibri"/>
                <w:sz w:val="20"/>
              </w:rPr>
              <w:t>$6.6B</w:t>
            </w:r>
          </w:p>
        </w:tc>
        <w:tc>
          <w:tcPr>
            <w:tcW w:type="dxa" w:w="1728"/>
          </w:tcPr>
          <w:p>
            <w:r>
              <w:rPr>
                <w:rFonts w:ascii="Calibri" w:hAnsi="Calibri"/>
                <w:sz w:val="20"/>
              </w:rPr>
              <w:t>11.6%</w:t>
            </w:r>
          </w:p>
        </w:tc>
      </w:tr>
      <w:tr>
        <w:tc>
          <w:tcPr>
            <w:tcW w:type="dxa" w:w="1728"/>
          </w:tcPr>
          <w:p>
            <w:r>
              <w:rPr>
                <w:rFonts w:ascii="Calibri" w:hAnsi="Calibri"/>
                <w:sz w:val="20"/>
              </w:rPr>
              <w:t>O2C Software (Core)</w:t>
            </w:r>
          </w:p>
        </w:tc>
        <w:tc>
          <w:tcPr>
            <w:tcW w:type="dxa" w:w="1728"/>
          </w:tcPr>
          <w:p>
            <w:r>
              <w:rPr>
                <w:rFonts w:ascii="Calibri" w:hAnsi="Calibri"/>
                <w:sz w:val="20"/>
              </w:rPr>
              <w:t>$641M</w:t>
            </w:r>
          </w:p>
        </w:tc>
        <w:tc>
          <w:tcPr>
            <w:tcW w:type="dxa" w:w="1728"/>
          </w:tcPr>
          <w:p>
            <w:r>
              <w:rPr>
                <w:rFonts w:ascii="Calibri" w:hAnsi="Calibri"/>
                <w:sz w:val="20"/>
              </w:rPr>
              <w:t>$740M</w:t>
            </w:r>
          </w:p>
        </w:tc>
        <w:tc>
          <w:tcPr>
            <w:tcW w:type="dxa" w:w="1728"/>
          </w:tcPr>
          <w:p>
            <w:r>
              <w:rPr>
                <w:rFonts w:ascii="Calibri" w:hAnsi="Calibri"/>
                <w:sz w:val="20"/>
              </w:rPr>
              <w:t>$1.06B</w:t>
            </w:r>
          </w:p>
        </w:tc>
        <w:tc>
          <w:tcPr>
            <w:tcW w:type="dxa" w:w="1728"/>
          </w:tcPr>
          <w:p>
            <w:r>
              <w:rPr>
                <w:rFonts w:ascii="Calibri" w:hAnsi="Calibri"/>
                <w:sz w:val="20"/>
              </w:rPr>
              <w:t>7.5%</w:t>
            </w:r>
          </w:p>
        </w:tc>
      </w:tr>
      <w:tr>
        <w:tc>
          <w:tcPr>
            <w:tcW w:type="dxa" w:w="1728"/>
          </w:tcPr>
          <w:p>
            <w:r>
              <w:rPr>
                <w:rFonts w:ascii="Calibri" w:hAnsi="Calibri"/>
                <w:sz w:val="20"/>
              </w:rPr>
              <w:t>RPA Market (Broader)</w:t>
            </w:r>
          </w:p>
        </w:tc>
        <w:tc>
          <w:tcPr>
            <w:tcW w:type="dxa" w:w="1728"/>
          </w:tcPr>
          <w:p>
            <w:r>
              <w:rPr>
                <w:rFonts w:ascii="Calibri" w:hAnsi="Calibri"/>
                <w:sz w:val="20"/>
              </w:rPr>
              <w:t>$28.3B</w:t>
            </w:r>
          </w:p>
        </w:tc>
        <w:tc>
          <w:tcPr>
            <w:tcW w:type="dxa" w:w="1728"/>
          </w:tcPr>
          <w:p>
            <w:r>
              <w:rPr>
                <w:rFonts w:ascii="Calibri" w:hAnsi="Calibri"/>
                <w:sz w:val="20"/>
              </w:rPr>
              <w:t>$35.3B</w:t>
            </w:r>
          </w:p>
        </w:tc>
        <w:tc>
          <w:tcPr>
            <w:tcW w:type="dxa" w:w="1728"/>
          </w:tcPr>
          <w:p>
            <w:r>
              <w:rPr>
                <w:rFonts w:ascii="Calibri" w:hAnsi="Calibri"/>
                <w:sz w:val="20"/>
              </w:rPr>
              <w:t>$247.3B</w:t>
            </w:r>
          </w:p>
        </w:tc>
        <w:tc>
          <w:tcPr>
            <w:tcW w:type="dxa" w:w="1728"/>
          </w:tcPr>
          <w:p>
            <w:r>
              <w:rPr>
                <w:rFonts w:ascii="Calibri" w:hAnsi="Calibri"/>
                <w:sz w:val="20"/>
              </w:rPr>
              <w:t>24.2%</w:t>
            </w:r>
          </w:p>
        </w:tc>
      </w:tr>
      <w:tr>
        <w:tc>
          <w:tcPr>
            <w:tcW w:type="dxa" w:w="1728"/>
          </w:tcPr>
          <w:p>
            <w:r>
              <w:rPr>
                <w:rFonts w:ascii="Calibri" w:hAnsi="Calibri"/>
                <w:sz w:val="20"/>
              </w:rPr>
              <w:t>ERP Software Market</w:t>
            </w:r>
          </w:p>
        </w:tc>
        <w:tc>
          <w:tcPr>
            <w:tcW w:type="dxa" w:w="1728"/>
          </w:tcPr>
          <w:p>
            <w:r>
              <w:rPr>
                <w:rFonts w:ascii="Calibri" w:hAnsi="Calibri"/>
                <w:sz w:val="20"/>
              </w:rPr>
              <w:t>$108B</w:t>
            </w:r>
          </w:p>
        </w:tc>
        <w:tc>
          <w:tcPr>
            <w:tcW w:type="dxa" w:w="1728"/>
          </w:tcPr>
          <w:p>
            <w:r>
              <w:rPr>
                <w:rFonts w:ascii="Calibri" w:hAnsi="Calibri"/>
                <w:sz w:val="20"/>
              </w:rPr>
              <w:t>$142B</w:t>
            </w:r>
          </w:p>
        </w:tc>
        <w:tc>
          <w:tcPr>
            <w:tcW w:type="dxa" w:w="1728"/>
          </w:tcPr>
          <w:p>
            <w:r>
              <w:rPr>
                <w:rFonts w:ascii="Calibri" w:hAnsi="Calibri"/>
                <w:sz w:val="20"/>
              </w:rPr>
              <w:t>$383B</w:t>
            </w:r>
          </w:p>
        </w:tc>
        <w:tc>
          <w:tcPr>
            <w:tcW w:type="dxa" w:w="1728"/>
          </w:tcPr>
          <w:p>
            <w:r>
              <w:rPr>
                <w:rFonts w:ascii="Calibri" w:hAnsi="Calibri"/>
                <w:sz w:val="20"/>
              </w:rPr>
              <w:t>11.7%</w:t>
            </w:r>
          </w:p>
        </w:tc>
      </w:tr>
      <w:tr>
        <w:tc>
          <w:tcPr>
            <w:tcW w:type="dxa" w:w="1728"/>
          </w:tcPr>
          <w:p>
            <w:r>
              <w:rPr>
                <w:rFonts w:ascii="Calibri" w:hAnsi="Calibri"/>
                <w:sz w:val="20"/>
              </w:rPr>
              <w:t>Systems Integrator Market</w:t>
            </w:r>
          </w:p>
        </w:tc>
        <w:tc>
          <w:tcPr>
            <w:tcW w:type="dxa" w:w="1728"/>
          </w:tcPr>
          <w:p>
            <w:r>
              <w:rPr>
                <w:rFonts w:ascii="Calibri" w:hAnsi="Calibri"/>
                <w:sz w:val="20"/>
              </w:rPr>
              <w:t>$500B</w:t>
            </w:r>
          </w:p>
        </w:tc>
        <w:tc>
          <w:tcPr>
            <w:tcW w:type="dxa" w:w="1728"/>
          </w:tcPr>
          <w:p>
            <w:r>
              <w:rPr>
                <w:rFonts w:ascii="Calibri" w:hAnsi="Calibri"/>
                <w:sz w:val="20"/>
              </w:rPr>
              <w:t>$560B</w:t>
            </w:r>
          </w:p>
        </w:tc>
        <w:tc>
          <w:tcPr>
            <w:tcW w:type="dxa" w:w="1728"/>
          </w:tcPr>
          <w:p>
            <w:r>
              <w:rPr>
                <w:rFonts w:ascii="Calibri" w:hAnsi="Calibri"/>
                <w:sz w:val="20"/>
              </w:rPr>
              <w:t>$800B</w:t>
            </w:r>
          </w:p>
        </w:tc>
        <w:tc>
          <w:tcPr>
            <w:tcW w:type="dxa" w:w="1728"/>
          </w:tcPr>
          <w:p>
            <w:r>
              <w:rPr>
                <w:rFonts w:ascii="Calibri" w:hAnsi="Calibri"/>
                <w:sz w:val="20"/>
              </w:rPr>
              <w:t>5.4%</w:t>
            </w:r>
          </w:p>
        </w:tc>
      </w:tr>
      <w:tr>
        <w:tc>
          <w:tcPr>
            <w:tcW w:type="dxa" w:w="1728"/>
          </w:tcPr>
          <w:p>
            <w:r>
              <w:rPr>
                <w:rFonts w:ascii="Calibri" w:hAnsi="Calibri"/>
                <w:sz w:val="20"/>
              </w:rPr>
              <w:t>AI Orchestration Market</w:t>
            </w:r>
          </w:p>
        </w:tc>
        <w:tc>
          <w:tcPr>
            <w:tcW w:type="dxa" w:w="1728"/>
          </w:tcPr>
          <w:p>
            <w:r>
              <w:rPr>
                <w:rFonts w:ascii="Calibri" w:hAnsi="Calibri"/>
                <w:sz w:val="20"/>
              </w:rPr>
              <w:t>--</w:t>
            </w:r>
          </w:p>
        </w:tc>
        <w:tc>
          <w:tcPr>
            <w:tcW w:type="dxa" w:w="1728"/>
          </w:tcPr>
          <w:p>
            <w:r>
              <w:rPr>
                <w:rFonts w:ascii="Calibri" w:hAnsi="Calibri"/>
                <w:sz w:val="20"/>
              </w:rPr>
              <w:t>Emerging</w:t>
            </w:r>
          </w:p>
        </w:tc>
        <w:tc>
          <w:tcPr>
            <w:tcW w:type="dxa" w:w="1728"/>
          </w:tcPr>
          <w:p>
            <w:r>
              <w:rPr>
                <w:rFonts w:ascii="Calibri" w:hAnsi="Calibri"/>
                <w:sz w:val="20"/>
              </w:rPr>
              <w:t>Emerging</w:t>
            </w:r>
          </w:p>
        </w:tc>
        <w:tc>
          <w:tcPr>
            <w:tcW w:type="dxa" w:w="1728"/>
          </w:tcPr>
          <w:p>
            <w:r>
              <w:rPr>
                <w:rFonts w:ascii="Calibri" w:hAnsi="Calibri"/>
                <w:sz w:val="20"/>
              </w:rPr>
              <w:t>--</w:t>
            </w:r>
          </w:p>
        </w:tc>
      </w:tr>
    </w:tbl>
    <w:p/>
    <w:p>
      <w:pPr>
        <w:pStyle w:val="Heading2"/>
      </w:pPr>
      <w:r>
        <w:t>SAP-Specific Market Opportunity</w:t>
      </w:r>
    </w:p>
    <w:p>
      <w:r>
        <w:t>SAP serves 400,000+ customers globally, with 37% of SAP ECC customers having purchased S/4HANA Cloud licenses by mid-2024 (up from prior periods). The mandatory 2027 ECC end-of-maintenance deadline creates a captive migration wave: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SAP Segment</w:t>
            </w:r>
          </w:p>
        </w:tc>
        <w:tc>
          <w:tcPr>
            <w:tcW w:type="dxa" w:w="2160"/>
          </w:tcPr>
          <w:p>
            <w:r>
              <w:rPr>
                <w:rFonts w:ascii="Calibri" w:hAnsi="Calibri"/>
                <w:b/>
                <w:sz w:val="20"/>
              </w:rPr>
              <w:t>Estimated Customers</w:t>
            </w:r>
          </w:p>
        </w:tc>
        <w:tc>
          <w:tcPr>
            <w:tcW w:type="dxa" w:w="2160"/>
          </w:tcPr>
          <w:p>
            <w:r>
              <w:rPr>
                <w:rFonts w:ascii="Calibri" w:hAnsi="Calibri"/>
                <w:b/>
                <w:sz w:val="20"/>
              </w:rPr>
              <w:t>O2C Automation Opportunity</w:t>
            </w:r>
          </w:p>
        </w:tc>
        <w:tc>
          <w:tcPr>
            <w:tcW w:type="dxa" w:w="2160"/>
          </w:tcPr>
          <w:p>
            <w:r>
              <w:rPr>
                <w:rFonts w:ascii="Calibri" w:hAnsi="Calibri"/>
                <w:b/>
                <w:sz w:val="20"/>
              </w:rPr>
              <w:t>Annual Spend Potential</w:t>
            </w:r>
          </w:p>
        </w:tc>
      </w:tr>
      <w:tr>
        <w:tc>
          <w:tcPr>
            <w:tcW w:type="dxa" w:w="2160"/>
          </w:tcPr>
          <w:p>
            <w:r>
              <w:rPr>
                <w:rFonts w:ascii="Calibri" w:hAnsi="Calibri"/>
                <w:sz w:val="20"/>
              </w:rPr>
              <w:t>S/4HANA Cloud (migrated)</w:t>
            </w:r>
          </w:p>
        </w:tc>
        <w:tc>
          <w:tcPr>
            <w:tcW w:type="dxa" w:w="2160"/>
          </w:tcPr>
          <w:p>
            <w:r>
              <w:rPr>
                <w:rFonts w:ascii="Calibri" w:hAnsi="Calibri"/>
                <w:sz w:val="20"/>
              </w:rPr>
              <w:t>~150,000</w:t>
            </w:r>
          </w:p>
        </w:tc>
        <w:tc>
          <w:tcPr>
            <w:tcW w:type="dxa" w:w="2160"/>
          </w:tcPr>
          <w:p>
            <w:r>
              <w:rPr>
                <w:rFonts w:ascii="Calibri" w:hAnsi="Calibri"/>
                <w:sz w:val="20"/>
              </w:rPr>
              <w:t>Native AI agent integration via BTP/MCP</w:t>
            </w:r>
          </w:p>
        </w:tc>
        <w:tc>
          <w:tcPr>
            <w:tcW w:type="dxa" w:w="2160"/>
          </w:tcPr>
          <w:p>
            <w:r>
              <w:rPr>
                <w:rFonts w:ascii="Calibri" w:hAnsi="Calibri"/>
                <w:sz w:val="20"/>
              </w:rPr>
              <w:t>$2-10K per customer</w:t>
            </w:r>
          </w:p>
        </w:tc>
      </w:tr>
      <w:tr>
        <w:tc>
          <w:tcPr>
            <w:tcW w:type="dxa" w:w="2160"/>
          </w:tcPr>
          <w:p>
            <w:r>
              <w:rPr>
                <w:rFonts w:ascii="Calibri" w:hAnsi="Calibri"/>
                <w:sz w:val="20"/>
              </w:rPr>
              <w:t>S/4HANA On-Premise</w:t>
            </w:r>
          </w:p>
        </w:tc>
        <w:tc>
          <w:tcPr>
            <w:tcW w:type="dxa" w:w="2160"/>
          </w:tcPr>
          <w:p>
            <w:r>
              <w:rPr>
                <w:rFonts w:ascii="Calibri" w:hAnsi="Calibri"/>
                <w:sz w:val="20"/>
              </w:rPr>
              <w:t>~50,000</w:t>
            </w:r>
          </w:p>
        </w:tc>
        <w:tc>
          <w:tcPr>
            <w:tcW w:type="dxa" w:w="2160"/>
          </w:tcPr>
          <w:p>
            <w:r>
              <w:rPr>
                <w:rFonts w:ascii="Calibri" w:hAnsi="Calibri"/>
                <w:sz w:val="20"/>
              </w:rPr>
              <w:t>Hybrid cloud-edge automation</w:t>
            </w:r>
          </w:p>
        </w:tc>
        <w:tc>
          <w:tcPr>
            <w:tcW w:type="dxa" w:w="2160"/>
          </w:tcPr>
          <w:p>
            <w:r>
              <w:rPr>
                <w:rFonts w:ascii="Calibri" w:hAnsi="Calibri"/>
                <w:sz w:val="20"/>
              </w:rPr>
              <w:t>$10-50K per customer</w:t>
            </w:r>
          </w:p>
        </w:tc>
      </w:tr>
      <w:tr>
        <w:tc>
          <w:tcPr>
            <w:tcW w:type="dxa" w:w="2160"/>
          </w:tcPr>
          <w:p>
            <w:r>
              <w:rPr>
                <w:rFonts w:ascii="Calibri" w:hAnsi="Calibri"/>
                <w:sz w:val="20"/>
              </w:rPr>
              <w:t>ECC (pre-migration)</w:t>
            </w:r>
          </w:p>
        </w:tc>
        <w:tc>
          <w:tcPr>
            <w:tcW w:type="dxa" w:w="2160"/>
          </w:tcPr>
          <w:p>
            <w:r>
              <w:rPr>
                <w:rFonts w:ascii="Calibri" w:hAnsi="Calibri"/>
                <w:sz w:val="20"/>
              </w:rPr>
              <w:t>~200,000</w:t>
            </w:r>
          </w:p>
        </w:tc>
        <w:tc>
          <w:tcPr>
            <w:tcW w:type="dxa" w:w="2160"/>
          </w:tcPr>
          <w:p>
            <w:r>
              <w:rPr>
                <w:rFonts w:ascii="Calibri" w:hAnsi="Calibri"/>
                <w:sz w:val="20"/>
              </w:rPr>
              <w:t>Migration acceleration + O2C modernization</w:t>
            </w:r>
          </w:p>
        </w:tc>
        <w:tc>
          <w:tcPr>
            <w:tcW w:type="dxa" w:w="2160"/>
          </w:tcPr>
          <w:p>
            <w:r>
              <w:rPr>
                <w:rFonts w:ascii="Calibri" w:hAnsi="Calibri"/>
                <w:sz w:val="20"/>
              </w:rPr>
              <w:t>$50-500K per project</w:t>
            </w:r>
          </w:p>
        </w:tc>
      </w:tr>
      <w:tr>
        <w:tc>
          <w:tcPr>
            <w:tcW w:type="dxa" w:w="2160"/>
          </w:tcPr>
          <w:p>
            <w:r>
              <w:rPr>
                <w:rFonts w:ascii="Calibri" w:hAnsi="Calibri"/>
                <w:sz w:val="20"/>
              </w:rPr>
              <w:t>Industry Cloud</w:t>
            </w:r>
          </w:p>
        </w:tc>
        <w:tc>
          <w:tcPr>
            <w:tcW w:type="dxa" w:w="2160"/>
          </w:tcPr>
          <w:p>
            <w:r>
              <w:rPr>
                <w:rFonts w:ascii="Calibri" w:hAnsi="Calibri"/>
                <w:sz w:val="20"/>
              </w:rPr>
              <w:t>~25,000</w:t>
            </w:r>
          </w:p>
        </w:tc>
        <w:tc>
          <w:tcPr>
            <w:tcW w:type="dxa" w:w="2160"/>
          </w:tcPr>
          <w:p>
            <w:r>
              <w:rPr>
                <w:rFonts w:ascii="Calibri" w:hAnsi="Calibri"/>
                <w:sz w:val="20"/>
              </w:rPr>
              <w:t>Vertical-specific O2C workflows</w:t>
            </w:r>
          </w:p>
        </w:tc>
        <w:tc>
          <w:tcPr>
            <w:tcW w:type="dxa" w:w="2160"/>
          </w:tcPr>
          <w:p>
            <w:r>
              <w:rPr>
                <w:rFonts w:ascii="Calibri" w:hAnsi="Calibri"/>
                <w:sz w:val="20"/>
              </w:rPr>
              <w:t>$20-100K per customer</w:t>
            </w:r>
          </w:p>
        </w:tc>
      </w:tr>
    </w:tbl>
    <w:p/>
    <w:p>
      <w:pPr>
        <w:pStyle w:val="Heading2"/>
      </w:pPr>
      <w:r>
        <w:t>Regional Analysis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Region</w:t>
            </w:r>
          </w:p>
        </w:tc>
        <w:tc>
          <w:tcPr>
            <w:tcW w:type="dxa" w:w="2160"/>
          </w:tcPr>
          <w:p>
            <w:r>
              <w:rPr>
                <w:rFonts w:ascii="Calibri" w:hAnsi="Calibri"/>
                <w:b/>
                <w:sz w:val="20"/>
              </w:rPr>
              <w:t>Market Share (2024)</w:t>
            </w:r>
          </w:p>
        </w:tc>
        <w:tc>
          <w:tcPr>
            <w:tcW w:type="dxa" w:w="2160"/>
          </w:tcPr>
          <w:p>
            <w:r>
              <w:rPr>
                <w:rFonts w:ascii="Calibri" w:hAnsi="Calibri"/>
                <w:b/>
                <w:sz w:val="20"/>
              </w:rPr>
              <w:t>Growth Driver</w:t>
            </w:r>
          </w:p>
        </w:tc>
        <w:tc>
          <w:tcPr>
            <w:tcW w:type="dxa" w:w="2160"/>
          </w:tcPr>
          <w:p>
            <w:r>
              <w:rPr>
                <w:rFonts w:ascii="Calibri" w:hAnsi="Calibri"/>
                <w:b/>
                <w:sz w:val="20"/>
              </w:rPr>
              <w:t>Key Opportunity</w:t>
            </w:r>
          </w:p>
        </w:tc>
      </w:tr>
      <w:tr>
        <w:tc>
          <w:tcPr>
            <w:tcW w:type="dxa" w:w="2160"/>
          </w:tcPr>
          <w:p>
            <w:r>
              <w:rPr>
                <w:rFonts w:ascii="Calibri" w:hAnsi="Calibri"/>
                <w:sz w:val="20"/>
              </w:rPr>
              <w:t>North America</w:t>
            </w:r>
          </w:p>
        </w:tc>
        <w:tc>
          <w:tcPr>
            <w:tcW w:type="dxa" w:w="2160"/>
          </w:tcPr>
          <w:p>
            <w:r>
              <w:rPr>
                <w:rFonts w:ascii="Calibri" w:hAnsi="Calibri"/>
                <w:sz w:val="20"/>
              </w:rPr>
              <w:t>38%</w:t>
            </w:r>
          </w:p>
        </w:tc>
        <w:tc>
          <w:tcPr>
            <w:tcW w:type="dxa" w:w="2160"/>
          </w:tcPr>
          <w:p>
            <w:r>
              <w:rPr>
                <w:rFonts w:ascii="Calibri" w:hAnsi="Calibri"/>
                <w:sz w:val="20"/>
              </w:rPr>
              <w:t>Enterprise AI adoption, compliance</w:t>
            </w:r>
          </w:p>
        </w:tc>
        <w:tc>
          <w:tcPr>
            <w:tcW w:type="dxa" w:w="2160"/>
          </w:tcPr>
          <w:p>
            <w:r>
              <w:rPr>
                <w:rFonts w:ascii="Calibri" w:hAnsi="Calibri"/>
                <w:sz w:val="20"/>
              </w:rPr>
              <w:t>Large enterprise S/4HANA migrations</w:t>
            </w:r>
          </w:p>
        </w:tc>
      </w:tr>
      <w:tr>
        <w:tc>
          <w:tcPr>
            <w:tcW w:type="dxa" w:w="2160"/>
          </w:tcPr>
          <w:p>
            <w:r>
              <w:rPr>
                <w:rFonts w:ascii="Calibri" w:hAnsi="Calibri"/>
                <w:sz w:val="20"/>
              </w:rPr>
              <w:t>Europe</w:t>
            </w:r>
          </w:p>
        </w:tc>
        <w:tc>
          <w:tcPr>
            <w:tcW w:type="dxa" w:w="2160"/>
          </w:tcPr>
          <w:p>
            <w:r>
              <w:rPr>
                <w:rFonts w:ascii="Calibri" w:hAnsi="Calibri"/>
                <w:sz w:val="20"/>
              </w:rPr>
              <w:t>30%</w:t>
            </w:r>
          </w:p>
        </w:tc>
        <w:tc>
          <w:tcPr>
            <w:tcW w:type="dxa" w:w="2160"/>
          </w:tcPr>
          <w:p>
            <w:r>
              <w:rPr>
                <w:rFonts w:ascii="Calibri" w:hAnsi="Calibri"/>
                <w:sz w:val="20"/>
              </w:rPr>
              <w:t>E-invoicing mandates, GDPR compliance</w:t>
            </w:r>
          </w:p>
        </w:tc>
        <w:tc>
          <w:tcPr>
            <w:tcW w:type="dxa" w:w="2160"/>
          </w:tcPr>
          <w:p>
            <w:r>
              <w:rPr>
                <w:rFonts w:ascii="Calibri" w:hAnsi="Calibri"/>
                <w:sz w:val="20"/>
              </w:rPr>
              <w:t>Cross-border O2C standardization</w:t>
            </w:r>
          </w:p>
        </w:tc>
      </w:tr>
      <w:tr>
        <w:tc>
          <w:tcPr>
            <w:tcW w:type="dxa" w:w="2160"/>
          </w:tcPr>
          <w:p>
            <w:r>
              <w:rPr>
                <w:rFonts w:ascii="Calibri" w:hAnsi="Calibri"/>
                <w:sz w:val="20"/>
              </w:rPr>
              <w:t>Asia Pacific</w:t>
            </w:r>
          </w:p>
        </w:tc>
        <w:tc>
          <w:tcPr>
            <w:tcW w:type="dxa" w:w="2160"/>
          </w:tcPr>
          <w:p>
            <w:r>
              <w:rPr>
                <w:rFonts w:ascii="Calibri" w:hAnsi="Calibri"/>
                <w:sz w:val="20"/>
              </w:rPr>
              <w:t>22%</w:t>
            </w:r>
          </w:p>
        </w:tc>
        <w:tc>
          <w:tcPr>
            <w:tcW w:type="dxa" w:w="2160"/>
          </w:tcPr>
          <w:p>
            <w:r>
              <w:rPr>
                <w:rFonts w:ascii="Calibri" w:hAnsi="Calibri"/>
                <w:sz w:val="20"/>
              </w:rPr>
              <w:t>Fastest CAGR (22.5%)</w:t>
            </w:r>
          </w:p>
        </w:tc>
        <w:tc>
          <w:tcPr>
            <w:tcW w:type="dxa" w:w="2160"/>
          </w:tcPr>
          <w:p>
            <w:r>
              <w:rPr>
                <w:rFonts w:ascii="Calibri" w:hAnsi="Calibri"/>
                <w:sz w:val="20"/>
              </w:rPr>
              <w:t>Greenfield S/4HANA deployments</w:t>
            </w:r>
          </w:p>
        </w:tc>
      </w:tr>
      <w:tr>
        <w:tc>
          <w:tcPr>
            <w:tcW w:type="dxa" w:w="2160"/>
          </w:tcPr>
          <w:p>
            <w:r>
              <w:rPr>
                <w:rFonts w:ascii="Calibri" w:hAnsi="Calibri"/>
                <w:sz w:val="20"/>
              </w:rPr>
              <w:t>Middle East &amp; Africa</w:t>
            </w:r>
          </w:p>
        </w:tc>
        <w:tc>
          <w:tcPr>
            <w:tcW w:type="dxa" w:w="2160"/>
          </w:tcPr>
          <w:p>
            <w:r>
              <w:rPr>
                <w:rFonts w:ascii="Calibri" w:hAnsi="Calibri"/>
                <w:sz w:val="20"/>
              </w:rPr>
              <w:t>6%</w:t>
            </w:r>
          </w:p>
        </w:tc>
        <w:tc>
          <w:tcPr>
            <w:tcW w:type="dxa" w:w="2160"/>
          </w:tcPr>
          <w:p>
            <w:r>
              <w:rPr>
                <w:rFonts w:ascii="Calibri" w:hAnsi="Calibri"/>
                <w:sz w:val="20"/>
              </w:rPr>
              <w:t>SAP Vision 2030 initiatives</w:t>
            </w:r>
          </w:p>
        </w:tc>
        <w:tc>
          <w:tcPr>
            <w:tcW w:type="dxa" w:w="2160"/>
          </w:tcPr>
          <w:p>
            <w:r>
              <w:rPr>
                <w:rFonts w:ascii="Calibri" w:hAnsi="Calibri"/>
                <w:sz w:val="20"/>
              </w:rPr>
              <w:t>Government/energy sector automation</w:t>
            </w:r>
          </w:p>
        </w:tc>
      </w:tr>
      <w:tr>
        <w:tc>
          <w:tcPr>
            <w:tcW w:type="dxa" w:w="2160"/>
          </w:tcPr>
          <w:p>
            <w:r>
              <w:rPr>
                <w:rFonts w:ascii="Calibri" w:hAnsi="Calibri"/>
                <w:sz w:val="20"/>
              </w:rPr>
              <w:t>Latin America</w:t>
            </w:r>
          </w:p>
        </w:tc>
        <w:tc>
          <w:tcPr>
            <w:tcW w:type="dxa" w:w="2160"/>
          </w:tcPr>
          <w:p>
            <w:r>
              <w:rPr>
                <w:rFonts w:ascii="Calibri" w:hAnsi="Calibri"/>
                <w:sz w:val="20"/>
              </w:rPr>
              <w:t>4%</w:t>
            </w:r>
          </w:p>
        </w:tc>
        <w:tc>
          <w:tcPr>
            <w:tcW w:type="dxa" w:w="2160"/>
          </w:tcPr>
          <w:p>
            <w:r>
              <w:rPr>
                <w:rFonts w:ascii="Calibri" w:hAnsi="Calibri"/>
                <w:sz w:val="20"/>
              </w:rPr>
              <w:t>Digital transformation mandates</w:t>
            </w:r>
          </w:p>
        </w:tc>
        <w:tc>
          <w:tcPr>
            <w:tcW w:type="dxa" w:w="2160"/>
          </w:tcPr>
          <w:p>
            <w:r>
              <w:rPr>
                <w:rFonts w:ascii="Calibri" w:hAnsi="Calibri"/>
                <w:sz w:val="20"/>
              </w:rPr>
              <w:t>Mid-market SAP adoption</w:t>
            </w:r>
          </w:p>
        </w:tc>
      </w:tr>
    </w:tbl>
    <w:p/>
    <w:p>
      <w:r>
        <w:br w:type="page"/>
      </w:r>
    </w:p>
    <w:p>
      <w:pPr>
        <w:pStyle w:val="Heading1"/>
      </w:pPr>
      <w:r>
        <w:t>5. Proof Points: Companies Winning Today</w:t>
      </w:r>
    </w:p>
    <w:p>
      <w:pPr>
        <w:pStyle w:val="Heading2"/>
      </w:pPr>
      <w:r>
        <w:t>Incumbent Leaders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Company</w:t>
            </w:r>
          </w:p>
        </w:tc>
        <w:tc>
          <w:tcPr>
            <w:tcW w:type="dxa" w:w="1728"/>
          </w:tcPr>
          <w:p>
            <w:r>
              <w:rPr>
                <w:rFonts w:ascii="Calibri" w:hAnsi="Calibri"/>
                <w:b/>
                <w:sz w:val="20"/>
              </w:rPr>
              <w:t>Valuation/Revenue</w:t>
            </w:r>
          </w:p>
        </w:tc>
        <w:tc>
          <w:tcPr>
            <w:tcW w:type="dxa" w:w="1728"/>
          </w:tcPr>
          <w:p>
            <w:r>
              <w:rPr>
                <w:rFonts w:ascii="Calibri" w:hAnsi="Calibri"/>
                <w:b/>
                <w:sz w:val="20"/>
              </w:rPr>
              <w:t>SAP Integration</w:t>
            </w:r>
          </w:p>
        </w:tc>
        <w:tc>
          <w:tcPr>
            <w:tcW w:type="dxa" w:w="1728"/>
          </w:tcPr>
          <w:p>
            <w:r>
              <w:rPr>
                <w:rFonts w:ascii="Calibri" w:hAnsi="Calibri"/>
                <w:b/>
                <w:sz w:val="20"/>
              </w:rPr>
              <w:t>Key Metric</w:t>
            </w:r>
          </w:p>
        </w:tc>
        <w:tc>
          <w:tcPr>
            <w:tcW w:type="dxa" w:w="1728"/>
          </w:tcPr>
          <w:p>
            <w:r>
              <w:rPr>
                <w:rFonts w:ascii="Calibri" w:hAnsi="Calibri"/>
                <w:b/>
                <w:sz w:val="20"/>
              </w:rPr>
              <w:t>Model</w:t>
            </w:r>
          </w:p>
        </w:tc>
      </w:tr>
      <w:tr>
        <w:tc>
          <w:tcPr>
            <w:tcW w:type="dxa" w:w="1728"/>
          </w:tcPr>
          <w:p>
            <w:r>
              <w:rPr>
                <w:rFonts w:ascii="Calibri" w:hAnsi="Calibri"/>
                <w:sz w:val="20"/>
              </w:rPr>
              <w:t>HighRadius</w:t>
            </w:r>
          </w:p>
        </w:tc>
        <w:tc>
          <w:tcPr>
            <w:tcW w:type="dxa" w:w="1728"/>
          </w:tcPr>
          <w:p>
            <w:r>
              <w:rPr>
                <w:rFonts w:ascii="Calibri" w:hAnsi="Calibri"/>
                <w:sz w:val="20"/>
              </w:rPr>
              <w:t>$3.1B valuation</w:t>
            </w:r>
          </w:p>
        </w:tc>
        <w:tc>
          <w:tcPr>
            <w:tcW w:type="dxa" w:w="1728"/>
          </w:tcPr>
          <w:p>
            <w:r>
              <w:rPr>
                <w:rFonts w:ascii="Calibri" w:hAnsi="Calibri"/>
                <w:sz w:val="20"/>
              </w:rPr>
              <w:t>Deep SAP ECC/S4 integration</w:t>
            </w:r>
          </w:p>
        </w:tc>
        <w:tc>
          <w:tcPr>
            <w:tcW w:type="dxa" w:w="1728"/>
          </w:tcPr>
          <w:p>
            <w:r>
              <w:rPr>
                <w:rFonts w:ascii="Calibri" w:hAnsi="Calibri"/>
                <w:sz w:val="20"/>
              </w:rPr>
              <w:t>1,100+ enterprise customers</w:t>
            </w:r>
          </w:p>
        </w:tc>
        <w:tc>
          <w:tcPr>
            <w:tcW w:type="dxa" w:w="1728"/>
          </w:tcPr>
          <w:p>
            <w:r>
              <w:rPr>
                <w:rFonts w:ascii="Calibri" w:hAnsi="Calibri"/>
                <w:sz w:val="20"/>
              </w:rPr>
              <w:t>AI-native SaaS</w:t>
            </w:r>
          </w:p>
        </w:tc>
      </w:tr>
      <w:tr>
        <w:tc>
          <w:tcPr>
            <w:tcW w:type="dxa" w:w="1728"/>
          </w:tcPr>
          <w:p>
            <w:r>
              <w:rPr>
                <w:rFonts w:ascii="Calibri" w:hAnsi="Calibri"/>
                <w:sz w:val="20"/>
              </w:rPr>
              <w:t>Celonis</w:t>
            </w:r>
          </w:p>
        </w:tc>
        <w:tc>
          <w:tcPr>
            <w:tcW w:type="dxa" w:w="1728"/>
          </w:tcPr>
          <w:p>
            <w:r>
              <w:rPr>
                <w:rFonts w:ascii="Calibri" w:hAnsi="Calibri"/>
                <w:sz w:val="20"/>
              </w:rPr>
              <w:t>$13B valuation (IPO pending)</w:t>
            </w:r>
          </w:p>
        </w:tc>
        <w:tc>
          <w:tcPr>
            <w:tcW w:type="dxa" w:w="1728"/>
          </w:tcPr>
          <w:p>
            <w:r>
              <w:rPr>
                <w:rFonts w:ascii="Calibri" w:hAnsi="Calibri"/>
                <w:sz w:val="20"/>
              </w:rPr>
              <w:t>SAP reseller agreement since 2015</w:t>
            </w:r>
          </w:p>
        </w:tc>
        <w:tc>
          <w:tcPr>
            <w:tcW w:type="dxa" w:w="1728"/>
          </w:tcPr>
          <w:p>
            <w:r>
              <w:rPr>
                <w:rFonts w:ascii="Calibri" w:hAnsi="Calibri"/>
                <w:sz w:val="20"/>
              </w:rPr>
              <w:t>$8.1B customer value realized</w:t>
            </w:r>
          </w:p>
        </w:tc>
        <w:tc>
          <w:tcPr>
            <w:tcW w:type="dxa" w:w="1728"/>
          </w:tcPr>
          <w:p>
            <w:r>
              <w:rPr>
                <w:rFonts w:ascii="Calibri" w:hAnsi="Calibri"/>
                <w:sz w:val="20"/>
              </w:rPr>
              <w:t>Process mining + action</w:t>
            </w:r>
          </w:p>
        </w:tc>
      </w:tr>
      <w:tr>
        <w:tc>
          <w:tcPr>
            <w:tcW w:type="dxa" w:w="1728"/>
          </w:tcPr>
          <w:p>
            <w:r>
              <w:rPr>
                <w:rFonts w:ascii="Calibri" w:hAnsi="Calibri"/>
                <w:sz w:val="20"/>
              </w:rPr>
              <w:t>UiPath</w:t>
            </w:r>
          </w:p>
        </w:tc>
        <w:tc>
          <w:tcPr>
            <w:tcW w:type="dxa" w:w="1728"/>
          </w:tcPr>
          <w:p>
            <w:r>
              <w:rPr>
                <w:rFonts w:ascii="Calibri" w:hAnsi="Calibri"/>
                <w:sz w:val="20"/>
              </w:rPr>
              <w:t>$1.6B FY2026 revenue</w:t>
            </w:r>
          </w:p>
        </w:tc>
        <w:tc>
          <w:tcPr>
            <w:tcW w:type="dxa" w:w="1728"/>
          </w:tcPr>
          <w:p>
            <w:r>
              <w:rPr>
                <w:rFonts w:ascii="Calibri" w:hAnsi="Calibri"/>
                <w:sz w:val="20"/>
              </w:rPr>
              <w:t>Cross-platform SAP RPA</w:t>
            </w:r>
          </w:p>
        </w:tc>
        <w:tc>
          <w:tcPr>
            <w:tcW w:type="dxa" w:w="1728"/>
          </w:tcPr>
          <w:p>
            <w:r>
              <w:rPr>
                <w:rFonts w:ascii="Calibri" w:hAnsi="Calibri"/>
                <w:sz w:val="20"/>
              </w:rPr>
              <w:t>First GAAP profitable year</w:t>
            </w:r>
          </w:p>
        </w:tc>
        <w:tc>
          <w:tcPr>
            <w:tcW w:type="dxa" w:w="1728"/>
          </w:tcPr>
          <w:p>
            <w:r>
              <w:rPr>
                <w:rFonts w:ascii="Calibri" w:hAnsi="Calibri"/>
                <w:sz w:val="20"/>
              </w:rPr>
              <w:t>RPA + agentic orchestration</w:t>
            </w:r>
          </w:p>
        </w:tc>
      </w:tr>
      <w:tr>
        <w:tc>
          <w:tcPr>
            <w:tcW w:type="dxa" w:w="1728"/>
          </w:tcPr>
          <w:p>
            <w:r>
              <w:rPr>
                <w:rFonts w:ascii="Calibri" w:hAnsi="Calibri"/>
                <w:sz w:val="20"/>
              </w:rPr>
              <w:t>Automation Anywhere</w:t>
            </w:r>
          </w:p>
        </w:tc>
        <w:tc>
          <w:tcPr>
            <w:tcW w:type="dxa" w:w="1728"/>
          </w:tcPr>
          <w:p>
            <w:r>
              <w:rPr>
                <w:rFonts w:ascii="Calibri" w:hAnsi="Calibri"/>
                <w:sz w:val="20"/>
              </w:rPr>
              <w:t>$800M revenue</w:t>
            </w:r>
          </w:p>
        </w:tc>
        <w:tc>
          <w:tcPr>
            <w:tcW w:type="dxa" w:w="1728"/>
          </w:tcPr>
          <w:p>
            <w:r>
              <w:rPr>
                <w:rFonts w:ascii="Calibri" w:hAnsi="Calibri"/>
                <w:sz w:val="20"/>
              </w:rPr>
              <w:t>Strategic SAP partnership</w:t>
            </w:r>
          </w:p>
        </w:tc>
        <w:tc>
          <w:tcPr>
            <w:tcW w:type="dxa" w:w="1728"/>
          </w:tcPr>
          <w:p>
            <w:r>
              <w:rPr>
                <w:rFonts w:ascii="Calibri" w:hAnsi="Calibri"/>
                <w:sz w:val="20"/>
              </w:rPr>
              <w:t>45% AI bookings growth YoY</w:t>
            </w:r>
          </w:p>
        </w:tc>
        <w:tc>
          <w:tcPr>
            <w:tcW w:type="dxa" w:w="1728"/>
          </w:tcPr>
          <w:p>
            <w:r>
              <w:rPr>
                <w:rFonts w:ascii="Calibri" w:hAnsi="Calibri"/>
                <w:sz w:val="20"/>
              </w:rPr>
              <w:t>Agentic process automation</w:t>
            </w:r>
          </w:p>
        </w:tc>
      </w:tr>
      <w:tr>
        <w:tc>
          <w:tcPr>
            <w:tcW w:type="dxa" w:w="1728"/>
          </w:tcPr>
          <w:p>
            <w:r>
              <w:rPr>
                <w:rFonts w:ascii="Calibri" w:hAnsi="Calibri"/>
                <w:sz w:val="20"/>
              </w:rPr>
              <w:t>BlackLine</w:t>
            </w:r>
          </w:p>
        </w:tc>
        <w:tc>
          <w:tcPr>
            <w:tcW w:type="dxa" w:w="1728"/>
          </w:tcPr>
          <w:p>
            <w:r>
              <w:rPr>
                <w:rFonts w:ascii="Calibri" w:hAnsi="Calibri"/>
                <w:sz w:val="20"/>
              </w:rPr>
              <w:t>Public (Roper Technologies)</w:t>
            </w:r>
          </w:p>
        </w:tc>
        <w:tc>
          <w:tcPr>
            <w:tcW w:type="dxa" w:w="1728"/>
          </w:tcPr>
          <w:p>
            <w:r>
              <w:rPr>
                <w:rFonts w:ascii="Calibri" w:hAnsi="Calibri"/>
                <w:sz w:val="20"/>
              </w:rPr>
              <w:t>SAP-certified integration</w:t>
            </w:r>
          </w:p>
        </w:tc>
        <w:tc>
          <w:tcPr>
            <w:tcW w:type="dxa" w:w="1728"/>
          </w:tcPr>
          <w:p>
            <w:r>
              <w:rPr>
                <w:rFonts w:ascii="Calibri" w:hAnsi="Calibri"/>
                <w:sz w:val="20"/>
              </w:rPr>
              <w:t>Forrester-recognized AI AR</w:t>
            </w:r>
          </w:p>
        </w:tc>
        <w:tc>
          <w:tcPr>
            <w:tcW w:type="dxa" w:w="1728"/>
          </w:tcPr>
          <w:p>
            <w:r>
              <w:rPr>
                <w:rFonts w:ascii="Calibri" w:hAnsi="Calibri"/>
                <w:sz w:val="20"/>
              </w:rPr>
              <w:t>Financial close + AR</w:t>
            </w:r>
          </w:p>
        </w:tc>
      </w:tr>
      <w:tr>
        <w:tc>
          <w:tcPr>
            <w:tcW w:type="dxa" w:w="1728"/>
          </w:tcPr>
          <w:p>
            <w:r>
              <w:rPr>
                <w:rFonts w:ascii="Calibri" w:hAnsi="Calibri"/>
                <w:sz w:val="20"/>
              </w:rPr>
              <w:t>Billtrust</w:t>
            </w:r>
          </w:p>
        </w:tc>
        <w:tc>
          <w:tcPr>
            <w:tcW w:type="dxa" w:w="1728"/>
          </w:tcPr>
          <w:p>
            <w:r>
              <w:rPr>
                <w:rFonts w:ascii="Calibri" w:hAnsi="Calibri"/>
                <w:sz w:val="20"/>
              </w:rPr>
              <w:t>Acquired by EQT</w:t>
            </w:r>
          </w:p>
        </w:tc>
        <w:tc>
          <w:tcPr>
            <w:tcW w:type="dxa" w:w="1728"/>
          </w:tcPr>
          <w:p>
            <w:r>
              <w:rPr>
                <w:rFonts w:ascii="Calibri" w:hAnsi="Calibri"/>
                <w:sz w:val="20"/>
              </w:rPr>
              <w:t>Battle-tested SAP connectors</w:t>
            </w:r>
          </w:p>
        </w:tc>
        <w:tc>
          <w:tcPr>
            <w:tcW w:type="dxa" w:w="1728"/>
          </w:tcPr>
          <w:p>
            <w:r>
              <w:rPr>
                <w:rFonts w:ascii="Calibri" w:hAnsi="Calibri"/>
                <w:sz w:val="20"/>
              </w:rPr>
              <w:t>384% ROI for customers</w:t>
            </w:r>
          </w:p>
        </w:tc>
        <w:tc>
          <w:tcPr>
            <w:tcW w:type="dxa" w:w="1728"/>
          </w:tcPr>
          <w:p>
            <w:r>
              <w:rPr>
                <w:rFonts w:ascii="Calibri" w:hAnsi="Calibri"/>
                <w:sz w:val="20"/>
              </w:rPr>
              <w:t>AI-powered AR automation</w:t>
            </w:r>
          </w:p>
        </w:tc>
      </w:tr>
    </w:tbl>
    <w:p/>
    <w:p>
      <w:pPr>
        <w:pStyle w:val="Heading2"/>
      </w:pPr>
      <w:r>
        <w:t>Emerging Challengers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Company</w:t>
            </w:r>
          </w:p>
        </w:tc>
        <w:tc>
          <w:tcPr>
            <w:tcW w:type="dxa" w:w="2160"/>
          </w:tcPr>
          <w:p>
            <w:r>
              <w:rPr>
                <w:rFonts w:ascii="Calibri" w:hAnsi="Calibri"/>
                <w:b/>
                <w:sz w:val="20"/>
              </w:rPr>
              <w:t>Funding</w:t>
            </w:r>
          </w:p>
        </w:tc>
        <w:tc>
          <w:tcPr>
            <w:tcW w:type="dxa" w:w="2160"/>
          </w:tcPr>
          <w:p>
            <w:r>
              <w:rPr>
                <w:rFonts w:ascii="Calibri" w:hAnsi="Calibri"/>
                <w:b/>
                <w:sz w:val="20"/>
              </w:rPr>
              <w:t>Approach</w:t>
            </w:r>
          </w:p>
        </w:tc>
        <w:tc>
          <w:tcPr>
            <w:tcW w:type="dxa" w:w="2160"/>
          </w:tcPr>
          <w:p>
            <w:r>
              <w:rPr>
                <w:rFonts w:ascii="Calibri" w:hAnsi="Calibri"/>
                <w:b/>
                <w:sz w:val="20"/>
              </w:rPr>
              <w:t>Differentiation</w:t>
            </w:r>
          </w:p>
        </w:tc>
      </w:tr>
      <w:tr>
        <w:tc>
          <w:tcPr>
            <w:tcW w:type="dxa" w:w="2160"/>
          </w:tcPr>
          <w:p>
            <w:r>
              <w:rPr>
                <w:rFonts w:ascii="Calibri" w:hAnsi="Calibri"/>
                <w:sz w:val="20"/>
              </w:rPr>
              <w:t>Tessera Labs</w:t>
            </w:r>
          </w:p>
        </w:tc>
        <w:tc>
          <w:tcPr>
            <w:tcW w:type="dxa" w:w="2160"/>
          </w:tcPr>
          <w:p>
            <w:r>
              <w:rPr>
                <w:rFonts w:ascii="Calibri" w:hAnsi="Calibri"/>
                <w:sz w:val="20"/>
              </w:rPr>
              <w:t>$60M Series A (a16z)</w:t>
            </w:r>
          </w:p>
        </w:tc>
        <w:tc>
          <w:tcPr>
            <w:tcW w:type="dxa" w:w="2160"/>
          </w:tcPr>
          <w:p>
            <w:r>
              <w:rPr>
                <w:rFonts w:ascii="Calibri" w:hAnsi="Calibri"/>
                <w:sz w:val="20"/>
              </w:rPr>
              <w:t>Multi-agent ERP transformation</w:t>
            </w:r>
          </w:p>
        </w:tc>
        <w:tc>
          <w:tcPr>
            <w:tcW w:type="dxa" w:w="2160"/>
          </w:tcPr>
          <w:p>
            <w:r>
              <w:rPr>
                <w:rFonts w:ascii="Calibri" w:hAnsi="Calibri"/>
                <w:sz w:val="20"/>
              </w:rPr>
              <w:t>Cuts migration from years to weeks</w:t>
            </w:r>
          </w:p>
        </w:tc>
      </w:tr>
      <w:tr>
        <w:tc>
          <w:tcPr>
            <w:tcW w:type="dxa" w:w="2160"/>
          </w:tcPr>
          <w:p>
            <w:r>
              <w:rPr>
                <w:rFonts w:ascii="Calibri" w:hAnsi="Calibri"/>
                <w:sz w:val="20"/>
              </w:rPr>
              <w:t>Gaviti</w:t>
            </w:r>
          </w:p>
        </w:tc>
        <w:tc>
          <w:tcPr>
            <w:tcW w:type="dxa" w:w="2160"/>
          </w:tcPr>
          <w:p>
            <w:r>
              <w:rPr>
                <w:rFonts w:ascii="Calibri" w:hAnsi="Calibri"/>
                <w:sz w:val="20"/>
              </w:rPr>
              <w:t>Growth-stage</w:t>
            </w:r>
          </w:p>
        </w:tc>
        <w:tc>
          <w:tcPr>
            <w:tcW w:type="dxa" w:w="2160"/>
          </w:tcPr>
          <w:p>
            <w:r>
              <w:rPr>
                <w:rFonts w:ascii="Calibri" w:hAnsi="Calibri"/>
                <w:sz w:val="20"/>
              </w:rPr>
              <w:t>AI-powered AR automation</w:t>
            </w:r>
          </w:p>
        </w:tc>
        <w:tc>
          <w:tcPr>
            <w:tcW w:type="dxa" w:w="2160"/>
          </w:tcPr>
          <w:p>
            <w:r>
              <w:rPr>
                <w:rFonts w:ascii="Calibri" w:hAnsi="Calibri"/>
                <w:sz w:val="20"/>
              </w:rPr>
              <w:t>DSO reduction, predictive collections</w:t>
            </w:r>
          </w:p>
        </w:tc>
      </w:tr>
      <w:tr>
        <w:tc>
          <w:tcPr>
            <w:tcW w:type="dxa" w:w="2160"/>
          </w:tcPr>
          <w:p>
            <w:r>
              <w:rPr>
                <w:rFonts w:ascii="Calibri" w:hAnsi="Calibri"/>
                <w:sz w:val="20"/>
              </w:rPr>
              <w:t>LedgerUp</w:t>
            </w:r>
          </w:p>
        </w:tc>
        <w:tc>
          <w:tcPr>
            <w:tcW w:type="dxa" w:w="2160"/>
          </w:tcPr>
          <w:p>
            <w:r>
              <w:rPr>
                <w:rFonts w:ascii="Calibri" w:hAnsi="Calibri"/>
                <w:sz w:val="20"/>
              </w:rPr>
              <w:t>Early-stage</w:t>
            </w:r>
          </w:p>
        </w:tc>
        <w:tc>
          <w:tcPr>
            <w:tcW w:type="dxa" w:w="2160"/>
          </w:tcPr>
          <w:p>
            <w:r>
              <w:rPr>
                <w:rFonts w:ascii="Calibri" w:hAnsi="Calibri"/>
                <w:sz w:val="20"/>
              </w:rPr>
              <w:t>AI assistant "Ari" for AR</w:t>
            </w:r>
          </w:p>
        </w:tc>
        <w:tc>
          <w:tcPr>
            <w:tcW w:type="dxa" w:w="2160"/>
          </w:tcPr>
          <w:p>
            <w:r>
              <w:rPr>
                <w:rFonts w:ascii="Calibri" w:hAnsi="Calibri"/>
                <w:sz w:val="20"/>
              </w:rPr>
              <w:t>95% automation of recurring AR tasks</w:t>
            </w:r>
          </w:p>
        </w:tc>
      </w:tr>
      <w:tr>
        <w:tc>
          <w:tcPr>
            <w:tcW w:type="dxa" w:w="2160"/>
          </w:tcPr>
          <w:p>
            <w:r>
              <w:rPr>
                <w:rFonts w:ascii="Calibri" w:hAnsi="Calibri"/>
                <w:sz w:val="20"/>
              </w:rPr>
              <w:t>Finto (YC)</w:t>
            </w:r>
          </w:p>
        </w:tc>
        <w:tc>
          <w:tcPr>
            <w:tcW w:type="dxa" w:w="2160"/>
          </w:tcPr>
          <w:p>
            <w:r>
              <w:rPr>
                <w:rFonts w:ascii="Calibri" w:hAnsi="Calibri"/>
                <w:sz w:val="20"/>
              </w:rPr>
              <w:t>Seed</w:t>
            </w:r>
          </w:p>
        </w:tc>
        <w:tc>
          <w:tcPr>
            <w:tcW w:type="dxa" w:w="2160"/>
          </w:tcPr>
          <w:p>
            <w:r>
              <w:rPr>
                <w:rFonts w:ascii="Calibri" w:hAnsi="Calibri"/>
                <w:sz w:val="20"/>
              </w:rPr>
              <w:t>Invoice-to-pay AI across 16+ ERPs</w:t>
            </w:r>
          </w:p>
        </w:tc>
        <w:tc>
          <w:tcPr>
            <w:tcW w:type="dxa" w:w="2160"/>
          </w:tcPr>
          <w:p>
            <w:r>
              <w:rPr>
                <w:rFonts w:ascii="Calibri" w:hAnsi="Calibri"/>
                <w:sz w:val="20"/>
              </w:rPr>
              <w:t>Email-to-ERP automation including SAP</w:t>
            </w:r>
          </w:p>
        </w:tc>
      </w:tr>
      <w:tr>
        <w:tc>
          <w:tcPr>
            <w:tcW w:type="dxa" w:w="2160"/>
          </w:tcPr>
          <w:p>
            <w:r>
              <w:rPr>
                <w:rFonts w:ascii="Calibri" w:hAnsi="Calibri"/>
                <w:sz w:val="20"/>
              </w:rPr>
              <w:t>Korso (YC)</w:t>
            </w:r>
          </w:p>
        </w:tc>
        <w:tc>
          <w:tcPr>
            <w:tcW w:type="dxa" w:w="2160"/>
          </w:tcPr>
          <w:p>
            <w:r>
              <w:rPr>
                <w:rFonts w:ascii="Calibri" w:hAnsi="Calibri"/>
                <w:sz w:val="20"/>
              </w:rPr>
              <w:t>Seed</w:t>
            </w:r>
          </w:p>
        </w:tc>
        <w:tc>
          <w:tcPr>
            <w:tcW w:type="dxa" w:w="2160"/>
          </w:tcPr>
          <w:p>
            <w:r>
              <w:rPr>
                <w:rFonts w:ascii="Calibri" w:hAnsi="Calibri"/>
                <w:sz w:val="20"/>
              </w:rPr>
              <w:t>AI agents for manufacturing ops</w:t>
            </w:r>
          </w:p>
        </w:tc>
        <w:tc>
          <w:tcPr>
            <w:tcW w:type="dxa" w:w="2160"/>
          </w:tcPr>
          <w:p>
            <w:r>
              <w:rPr>
                <w:rFonts w:ascii="Calibri" w:hAnsi="Calibri"/>
                <w:sz w:val="20"/>
              </w:rPr>
              <w:t>ERP/CRM-native agent plug-in approach</w:t>
            </w:r>
          </w:p>
        </w:tc>
      </w:tr>
      <w:tr>
        <w:tc>
          <w:tcPr>
            <w:tcW w:type="dxa" w:w="2160"/>
          </w:tcPr>
          <w:p>
            <w:r>
              <w:rPr>
                <w:rFonts w:ascii="Calibri" w:hAnsi="Calibri"/>
                <w:sz w:val="20"/>
              </w:rPr>
              <w:t>Versapay</w:t>
            </w:r>
          </w:p>
        </w:tc>
        <w:tc>
          <w:tcPr>
            <w:tcW w:type="dxa" w:w="2160"/>
          </w:tcPr>
          <w:p>
            <w:r>
              <w:rPr>
                <w:rFonts w:ascii="Calibri" w:hAnsi="Calibri"/>
                <w:sz w:val="20"/>
              </w:rPr>
              <w:t>Growth-stage</w:t>
            </w:r>
          </w:p>
        </w:tc>
        <w:tc>
          <w:tcPr>
            <w:tcW w:type="dxa" w:w="2160"/>
          </w:tcPr>
          <w:p>
            <w:r>
              <w:rPr>
                <w:rFonts w:ascii="Calibri" w:hAnsi="Calibri"/>
                <w:sz w:val="20"/>
              </w:rPr>
              <w:t>Collaborative AR portal</w:t>
            </w:r>
          </w:p>
        </w:tc>
        <w:tc>
          <w:tcPr>
            <w:tcW w:type="dxa" w:w="2160"/>
          </w:tcPr>
          <w:p>
            <w:r>
              <w:rPr>
                <w:rFonts w:ascii="Calibri" w:hAnsi="Calibri"/>
                <w:sz w:val="20"/>
              </w:rPr>
              <w:t>82% self-service adoption rate</w:t>
            </w:r>
          </w:p>
        </w:tc>
      </w:tr>
      <w:tr>
        <w:tc>
          <w:tcPr>
            <w:tcW w:type="dxa" w:w="2160"/>
          </w:tcPr>
          <w:p>
            <w:r>
              <w:rPr>
                <w:rFonts w:ascii="Calibri" w:hAnsi="Calibri"/>
                <w:sz w:val="20"/>
              </w:rPr>
              <w:t>Stuut.ai</w:t>
            </w:r>
          </w:p>
        </w:tc>
        <w:tc>
          <w:tcPr>
            <w:tcW w:type="dxa" w:w="2160"/>
          </w:tcPr>
          <w:p>
            <w:r>
              <w:rPr>
                <w:rFonts w:ascii="Calibri" w:hAnsi="Calibri"/>
                <w:sz w:val="20"/>
              </w:rPr>
              <w:t>Early-stage</w:t>
            </w:r>
          </w:p>
        </w:tc>
        <w:tc>
          <w:tcPr>
            <w:tcW w:type="dxa" w:w="2160"/>
          </w:tcPr>
          <w:p>
            <w:r>
              <w:rPr>
                <w:rFonts w:ascii="Calibri" w:hAnsi="Calibri"/>
                <w:sz w:val="20"/>
              </w:rPr>
              <w:t>AI-native O2C platform</w:t>
            </w:r>
          </w:p>
        </w:tc>
        <w:tc>
          <w:tcPr>
            <w:tcW w:type="dxa" w:w="2160"/>
          </w:tcPr>
          <w:p>
            <w:r>
              <w:rPr>
                <w:rFonts w:ascii="Calibri" w:hAnsi="Calibri"/>
                <w:sz w:val="20"/>
              </w:rPr>
              <w:t>Full process automation alternative</w:t>
            </w:r>
          </w:p>
        </w:tc>
      </w:tr>
    </w:tbl>
    <w:p/>
    <w:p>
      <w:pPr>
        <w:pStyle w:val="Heading2"/>
      </w:pPr>
      <w:r>
        <w:t>Performance Benchmarks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Metric</w:t>
            </w:r>
          </w:p>
        </w:tc>
        <w:tc>
          <w:tcPr>
            <w:tcW w:type="dxa" w:w="2160"/>
          </w:tcPr>
          <w:p>
            <w:r>
              <w:rPr>
                <w:rFonts w:ascii="Calibri" w:hAnsi="Calibri"/>
                <w:b/>
                <w:sz w:val="20"/>
              </w:rPr>
              <w:t>Industry Baseline</w:t>
            </w:r>
          </w:p>
        </w:tc>
        <w:tc>
          <w:tcPr>
            <w:tcW w:type="dxa" w:w="2160"/>
          </w:tcPr>
          <w:p>
            <w:r>
              <w:rPr>
                <w:rFonts w:ascii="Calibri" w:hAnsi="Calibri"/>
                <w:b/>
                <w:sz w:val="20"/>
              </w:rPr>
              <w:t>AI-Automated Target</w:t>
            </w:r>
          </w:p>
        </w:tc>
        <w:tc>
          <w:tcPr>
            <w:tcW w:type="dxa" w:w="2160"/>
          </w:tcPr>
          <w:p>
            <w:r>
              <w:rPr>
                <w:rFonts w:ascii="Calibri" w:hAnsi="Calibri"/>
                <w:b/>
                <w:sz w:val="20"/>
              </w:rPr>
              <w:t>Best-in-Class</w:t>
            </w:r>
          </w:p>
        </w:tc>
      </w:tr>
      <w:tr>
        <w:tc>
          <w:tcPr>
            <w:tcW w:type="dxa" w:w="2160"/>
          </w:tcPr>
          <w:p>
            <w:r>
              <w:rPr>
                <w:rFonts w:ascii="Calibri" w:hAnsi="Calibri"/>
                <w:sz w:val="20"/>
              </w:rPr>
              <w:t>Invoice Processing Time</w:t>
            </w:r>
          </w:p>
        </w:tc>
        <w:tc>
          <w:tcPr>
            <w:tcW w:type="dxa" w:w="2160"/>
          </w:tcPr>
          <w:p>
            <w:r>
              <w:rPr>
                <w:rFonts w:ascii="Calibri" w:hAnsi="Calibri"/>
                <w:sz w:val="20"/>
              </w:rPr>
              <w:t>12-15 days</w:t>
            </w:r>
          </w:p>
        </w:tc>
        <w:tc>
          <w:tcPr>
            <w:tcW w:type="dxa" w:w="2160"/>
          </w:tcPr>
          <w:p>
            <w:r>
              <w:rPr>
                <w:rFonts w:ascii="Calibri" w:hAnsi="Calibri"/>
                <w:sz w:val="20"/>
              </w:rPr>
              <w:t>2-3 days</w:t>
            </w:r>
          </w:p>
        </w:tc>
        <w:tc>
          <w:tcPr>
            <w:tcW w:type="dxa" w:w="2160"/>
          </w:tcPr>
          <w:p>
            <w:r>
              <w:rPr>
                <w:rFonts w:ascii="Calibri" w:hAnsi="Calibri"/>
                <w:sz w:val="20"/>
              </w:rPr>
              <w:t>&lt; 1 day</w:t>
            </w:r>
          </w:p>
        </w:tc>
      </w:tr>
      <w:tr>
        <w:tc>
          <w:tcPr>
            <w:tcW w:type="dxa" w:w="2160"/>
          </w:tcPr>
          <w:p>
            <w:r>
              <w:rPr>
                <w:rFonts w:ascii="Calibri" w:hAnsi="Calibri"/>
                <w:sz w:val="20"/>
              </w:rPr>
              <w:t>Cash Application Match Rate</w:t>
            </w:r>
          </w:p>
        </w:tc>
        <w:tc>
          <w:tcPr>
            <w:tcW w:type="dxa" w:w="2160"/>
          </w:tcPr>
          <w:p>
            <w:r>
              <w:rPr>
                <w:rFonts w:ascii="Calibri" w:hAnsi="Calibri"/>
                <w:sz w:val="20"/>
              </w:rPr>
              <w:t>50-60%</w:t>
            </w:r>
          </w:p>
        </w:tc>
        <w:tc>
          <w:tcPr>
            <w:tcW w:type="dxa" w:w="2160"/>
          </w:tcPr>
          <w:p>
            <w:r>
              <w:rPr>
                <w:rFonts w:ascii="Calibri" w:hAnsi="Calibri"/>
                <w:sz w:val="20"/>
              </w:rPr>
              <w:t>85-90%</w:t>
            </w:r>
          </w:p>
        </w:tc>
        <w:tc>
          <w:tcPr>
            <w:tcW w:type="dxa" w:w="2160"/>
          </w:tcPr>
          <w:p>
            <w:r>
              <w:rPr>
                <w:rFonts w:ascii="Calibri" w:hAnsi="Calibri"/>
                <w:sz w:val="20"/>
              </w:rPr>
              <w:t>95%+</w:t>
            </w:r>
          </w:p>
        </w:tc>
      </w:tr>
      <w:tr>
        <w:tc>
          <w:tcPr>
            <w:tcW w:type="dxa" w:w="2160"/>
          </w:tcPr>
          <w:p>
            <w:r>
              <w:rPr>
                <w:rFonts w:ascii="Calibri" w:hAnsi="Calibri"/>
                <w:sz w:val="20"/>
              </w:rPr>
              <w:t>DSO (Days Sales Outstanding)</w:t>
            </w:r>
          </w:p>
        </w:tc>
        <w:tc>
          <w:tcPr>
            <w:tcW w:type="dxa" w:w="2160"/>
          </w:tcPr>
          <w:p>
            <w:r>
              <w:rPr>
                <w:rFonts w:ascii="Calibri" w:hAnsi="Calibri"/>
                <w:sz w:val="20"/>
              </w:rPr>
              <w:t>45-60 days</w:t>
            </w:r>
          </w:p>
        </w:tc>
        <w:tc>
          <w:tcPr>
            <w:tcW w:type="dxa" w:w="2160"/>
          </w:tcPr>
          <w:p>
            <w:r>
              <w:rPr>
                <w:rFonts w:ascii="Calibri" w:hAnsi="Calibri"/>
                <w:sz w:val="20"/>
              </w:rPr>
              <w:t>30-40 days</w:t>
            </w:r>
          </w:p>
        </w:tc>
        <w:tc>
          <w:tcPr>
            <w:tcW w:type="dxa" w:w="2160"/>
          </w:tcPr>
          <w:p>
            <w:r>
              <w:rPr>
                <w:rFonts w:ascii="Calibri" w:hAnsi="Calibri"/>
                <w:sz w:val="20"/>
              </w:rPr>
              <w:t>&lt; 25 days</w:t>
            </w:r>
          </w:p>
        </w:tc>
      </w:tr>
      <w:tr>
        <w:tc>
          <w:tcPr>
            <w:tcW w:type="dxa" w:w="2160"/>
          </w:tcPr>
          <w:p>
            <w:r>
              <w:rPr>
                <w:rFonts w:ascii="Calibri" w:hAnsi="Calibri"/>
                <w:sz w:val="20"/>
              </w:rPr>
              <w:t>Invoice Processing Cost</w:t>
            </w:r>
          </w:p>
        </w:tc>
        <w:tc>
          <w:tcPr>
            <w:tcW w:type="dxa" w:w="2160"/>
          </w:tcPr>
          <w:p>
            <w:r>
              <w:rPr>
                <w:rFonts w:ascii="Calibri" w:hAnsi="Calibri"/>
                <w:sz w:val="20"/>
              </w:rPr>
              <w:t>$8-15 per invoice</w:t>
            </w:r>
          </w:p>
        </w:tc>
        <w:tc>
          <w:tcPr>
            <w:tcW w:type="dxa" w:w="2160"/>
          </w:tcPr>
          <w:p>
            <w:r>
              <w:rPr>
                <w:rFonts w:ascii="Calibri" w:hAnsi="Calibri"/>
                <w:sz w:val="20"/>
              </w:rPr>
              <w:t>$2-4 per invoice</w:t>
            </w:r>
          </w:p>
        </w:tc>
        <w:tc>
          <w:tcPr>
            <w:tcW w:type="dxa" w:w="2160"/>
          </w:tcPr>
          <w:p>
            <w:r>
              <w:rPr>
                <w:rFonts w:ascii="Calibri" w:hAnsi="Calibri"/>
                <w:sz w:val="20"/>
              </w:rPr>
              <w:t>&lt; $1 per invoice</w:t>
            </w:r>
          </w:p>
        </w:tc>
      </w:tr>
      <w:tr>
        <w:tc>
          <w:tcPr>
            <w:tcW w:type="dxa" w:w="2160"/>
          </w:tcPr>
          <w:p>
            <w:r>
              <w:rPr>
                <w:rFonts w:ascii="Calibri" w:hAnsi="Calibri"/>
                <w:sz w:val="20"/>
              </w:rPr>
              <w:t>Human Touchpoint Rate</w:t>
            </w:r>
          </w:p>
        </w:tc>
        <w:tc>
          <w:tcPr>
            <w:tcW w:type="dxa" w:w="2160"/>
          </w:tcPr>
          <w:p>
            <w:r>
              <w:rPr>
                <w:rFonts w:ascii="Calibri" w:hAnsi="Calibri"/>
                <w:sz w:val="20"/>
              </w:rPr>
              <w:t>60-70%</w:t>
            </w:r>
          </w:p>
        </w:tc>
        <w:tc>
          <w:tcPr>
            <w:tcW w:type="dxa" w:w="2160"/>
          </w:tcPr>
          <w:p>
            <w:r>
              <w:rPr>
                <w:rFonts w:ascii="Calibri" w:hAnsi="Calibri"/>
                <w:sz w:val="20"/>
              </w:rPr>
              <w:t>20-30%</w:t>
            </w:r>
          </w:p>
        </w:tc>
        <w:tc>
          <w:tcPr>
            <w:tcW w:type="dxa" w:w="2160"/>
          </w:tcPr>
          <w:p>
            <w:r>
              <w:rPr>
                <w:rFonts w:ascii="Calibri" w:hAnsi="Calibri"/>
                <w:sz w:val="20"/>
              </w:rPr>
              <w:t>&lt; 10%</w:t>
            </w:r>
          </w:p>
        </w:tc>
      </w:tr>
      <w:tr>
        <w:tc>
          <w:tcPr>
            <w:tcW w:type="dxa" w:w="2160"/>
          </w:tcPr>
          <w:p>
            <w:r>
              <w:rPr>
                <w:rFonts w:ascii="Calibri" w:hAnsi="Calibri"/>
                <w:sz w:val="20"/>
              </w:rPr>
              <w:t>Deduction Validity Prediction</w:t>
            </w:r>
          </w:p>
        </w:tc>
        <w:tc>
          <w:tcPr>
            <w:tcW w:type="dxa" w:w="2160"/>
          </w:tcPr>
          <w:p>
            <w:r>
              <w:rPr>
                <w:rFonts w:ascii="Calibri" w:hAnsi="Calibri"/>
                <w:sz w:val="20"/>
              </w:rPr>
              <w:t>60% accuracy</w:t>
            </w:r>
          </w:p>
        </w:tc>
        <w:tc>
          <w:tcPr>
            <w:tcW w:type="dxa" w:w="2160"/>
          </w:tcPr>
          <w:p>
            <w:r>
              <w:rPr>
                <w:rFonts w:ascii="Calibri" w:hAnsi="Calibri"/>
                <w:sz w:val="20"/>
              </w:rPr>
              <w:t>85% accuracy</w:t>
            </w:r>
          </w:p>
        </w:tc>
        <w:tc>
          <w:tcPr>
            <w:tcW w:type="dxa" w:w="2160"/>
          </w:tcPr>
          <w:p>
            <w:r>
              <w:rPr>
                <w:rFonts w:ascii="Calibri" w:hAnsi="Calibri"/>
                <w:sz w:val="20"/>
              </w:rPr>
              <w:t>90-95% accuracy</w:t>
            </w:r>
          </w:p>
        </w:tc>
      </w:tr>
      <w:tr>
        <w:tc>
          <w:tcPr>
            <w:tcW w:type="dxa" w:w="2160"/>
          </w:tcPr>
          <w:p>
            <w:r>
              <w:rPr>
                <w:rFonts w:ascii="Calibri" w:hAnsi="Calibri"/>
                <w:sz w:val="20"/>
              </w:rPr>
              <w:t>Collections Effectiveness</w:t>
            </w:r>
          </w:p>
        </w:tc>
        <w:tc>
          <w:tcPr>
            <w:tcW w:type="dxa" w:w="2160"/>
          </w:tcPr>
          <w:p>
            <w:r>
              <w:rPr>
                <w:rFonts w:ascii="Calibri" w:hAnsi="Calibri"/>
                <w:sz w:val="20"/>
              </w:rPr>
              <w:t>65-75%</w:t>
            </w:r>
          </w:p>
        </w:tc>
        <w:tc>
          <w:tcPr>
            <w:tcW w:type="dxa" w:w="2160"/>
          </w:tcPr>
          <w:p>
            <w:r>
              <w:rPr>
                <w:rFonts w:ascii="Calibri" w:hAnsi="Calibri"/>
                <w:sz w:val="20"/>
              </w:rPr>
              <w:t>85-90%</w:t>
            </w:r>
          </w:p>
        </w:tc>
        <w:tc>
          <w:tcPr>
            <w:tcW w:type="dxa" w:w="2160"/>
          </w:tcPr>
          <w:p>
            <w:r>
              <w:rPr>
                <w:rFonts w:ascii="Calibri" w:hAnsi="Calibri"/>
                <w:sz w:val="20"/>
              </w:rPr>
              <w:t>95%+</w:t>
            </w:r>
          </w:p>
        </w:tc>
      </w:tr>
    </w:tbl>
    <w:p/>
    <w:p>
      <w:r>
        <w:br w:type="page"/>
      </w:r>
    </w:p>
    <w:p>
      <w:pPr>
        <w:pStyle w:val="Heading1"/>
      </w:pPr>
      <w:r>
        <w:t>6. Operational Playbook</w:t>
      </w:r>
    </w:p>
    <w:p>
      <w:pPr>
        <w:pStyle w:val="Heading2"/>
      </w:pPr>
      <w:r>
        <w:t>Phase 1: Foundation (Months 1-3)</w:t>
      </w:r>
    </w:p>
    <w:p>
      <w:pPr>
        <w:pStyle w:val="ListBullet"/>
      </w:pPr>
      <w:r>
        <w:rPr>
          <w:rFonts w:ascii="Calibri" w:hAnsi="Calibri"/>
          <w:b/>
          <w:sz w:val="22"/>
        </w:rPr>
        <w:t xml:space="preserve">Architecture: </w:t>
      </w:r>
      <w:r>
        <w:rPr>
          <w:rFonts w:ascii="Calibri" w:hAnsi="Calibri"/>
          <w:sz w:val="22"/>
        </w:rPr>
        <w:t>Build on the SAP-O2C-Automation repository's proven architecture: Google ADK for multi-agent coordination, MCP for SAP OData API exposure, and Gemini for LLM reasoning. The zero-cost free-tier deployment model enables rapid prototyping without infrastructure investment.</w:t>
      </w:r>
    </w:p>
    <w:p>
      <w:pPr>
        <w:pStyle w:val="ListBullet"/>
      </w:pPr>
      <w:r>
        <w:rPr>
          <w:rFonts w:ascii="Calibri" w:hAnsi="Calibri"/>
          <w:b/>
          <w:sz w:val="22"/>
        </w:rPr>
        <w:t xml:space="preserve">Mock-to-Real Pipeline: </w:t>
      </w:r>
      <w:r>
        <w:rPr>
          <w:rFonts w:ascii="Calibri" w:hAnsi="Calibri"/>
          <w:sz w:val="22"/>
        </w:rPr>
        <w:t>Follow the repository's 7-phase workshop progression from mock SAP data to real S/4HANA integration via BTP API Management. This de-risks development by validating agent behavior before connecting to production SAP systems.</w:t>
      </w:r>
    </w:p>
    <w:p>
      <w:pPr>
        <w:pStyle w:val="ListBullet"/>
      </w:pPr>
      <w:r>
        <w:rPr>
          <w:rFonts w:ascii="Calibri" w:hAnsi="Calibri"/>
          <w:b/>
          <w:sz w:val="22"/>
        </w:rPr>
        <w:t xml:space="preserve">Sub-Agent Specialization: </w:t>
      </w:r>
      <w:r>
        <w:rPr>
          <w:rFonts w:ascii="Calibri" w:hAnsi="Calibri"/>
          <w:sz w:val="22"/>
        </w:rPr>
        <w:t>Deploy specialized sub-agents for each O2C domain: product data, inventory, sales orders, outbound delivery, billing, and cross-entity analytics. The coordinator/dispatcher pattern enables modular scaling.</w:t>
      </w:r>
    </w:p>
    <w:p>
      <w:pPr>
        <w:pStyle w:val="Heading2"/>
      </w:pPr>
      <w:r>
        <w:t>Phase 2: Product-Market Fit (Months 3-9)</w:t>
      </w:r>
    </w:p>
    <w:p>
      <w:pPr>
        <w:pStyle w:val="ListBullet"/>
      </w:pPr>
      <w:r>
        <w:rPr>
          <w:rFonts w:ascii="Calibri" w:hAnsi="Calibri"/>
          <w:b/>
          <w:sz w:val="22"/>
        </w:rPr>
        <w:t xml:space="preserve">Outsourcing Wedge: </w:t>
      </w:r>
      <w:r>
        <w:rPr>
          <w:rFonts w:ascii="Calibri" w:hAnsi="Calibri"/>
          <w:sz w:val="22"/>
        </w:rPr>
        <w:t>Target already-outsourced O2C tasks first (Sequoia's "outsourcing wedge" strategy): cash application, invoice matching, and deduction management. These have existing budgets, proven feasibility, and clear ROI benchmarks.</w:t>
      </w:r>
    </w:p>
    <w:p>
      <w:pPr>
        <w:pStyle w:val="ListBullet"/>
      </w:pPr>
      <w:r>
        <w:rPr>
          <w:rFonts w:ascii="Calibri" w:hAnsi="Calibri"/>
          <w:b/>
          <w:sz w:val="22"/>
        </w:rPr>
        <w:t xml:space="preserve">Pilot Structure: </w:t>
      </w:r>
      <w:r>
        <w:rPr>
          <w:rFonts w:ascii="Calibri" w:hAnsi="Calibri"/>
          <w:sz w:val="22"/>
        </w:rPr>
        <w:t>Staff pilots separately from full projects (Emergence Capital guidance). Embed AI engineers alongside SAP functional consultants for real-time feedback. Target 3-5 mid-market SAP customers with specific O2C pain points.</w:t>
      </w:r>
    </w:p>
    <w:p>
      <w:pPr>
        <w:pStyle w:val="ListBullet"/>
      </w:pPr>
      <w:r>
        <w:rPr>
          <w:rFonts w:ascii="Calibri" w:hAnsi="Calibri"/>
          <w:b/>
          <w:sz w:val="22"/>
        </w:rPr>
        <w:t xml:space="preserve">Demo-Driven Sales: </w:t>
      </w:r>
      <w:r>
        <w:rPr>
          <w:rFonts w:ascii="Calibri" w:hAnsi="Calibri"/>
          <w:sz w:val="22"/>
        </w:rPr>
        <w:t>Demos showing AI in action cut enterprise sales cycles dramatically. Use the repository's web interface (port 8080) to demonstrate end-to-end O2C automation in real time.</w:t>
      </w:r>
    </w:p>
    <w:p>
      <w:pPr>
        <w:pStyle w:val="Heading2"/>
      </w:pPr>
      <w:r>
        <w:t>Phase 3: Scale (Months 9-18)</w:t>
      </w:r>
    </w:p>
    <w:p>
      <w:pPr>
        <w:pStyle w:val="ListBullet"/>
      </w:pPr>
      <w:r>
        <w:rPr>
          <w:rFonts w:ascii="Calibri" w:hAnsi="Calibri"/>
          <w:b/>
          <w:sz w:val="22"/>
        </w:rPr>
        <w:t xml:space="preserve">Data Flywheel Activation: </w:t>
      </w:r>
      <w:r>
        <w:rPr>
          <w:rFonts w:ascii="Calibri" w:hAnsi="Calibri"/>
          <w:sz w:val="22"/>
        </w:rPr>
        <w:t>Every customer engagement generates training data that improves agent accuracy. Track the North Star metric (Human Review Time / HURT) to demonstrate AI leverage compounding.</w:t>
      </w:r>
    </w:p>
    <w:p>
      <w:pPr>
        <w:pStyle w:val="ListBullet"/>
      </w:pPr>
      <w:r>
        <w:rPr>
          <w:rFonts w:ascii="Calibri" w:hAnsi="Calibri"/>
          <w:b/>
          <w:sz w:val="22"/>
        </w:rPr>
        <w:t xml:space="preserve">SAP Partnership: </w:t>
      </w:r>
      <w:r>
        <w:rPr>
          <w:rFonts w:ascii="Calibri" w:hAnsi="Calibri"/>
          <w:sz w:val="22"/>
        </w:rPr>
        <w:t>Apply for SAP PartnerEdge and list on SAP Store. SAP's 2026 GTM strategy actively segments partners by capability, and AI-native O2C automation is an underserved niche in their partner ecosystem.</w:t>
      </w:r>
    </w:p>
    <w:p>
      <w:pPr>
        <w:pStyle w:val="ListBullet"/>
      </w:pPr>
      <w:r>
        <w:rPr>
          <w:rFonts w:ascii="Calibri" w:hAnsi="Calibri"/>
          <w:b/>
          <w:sz w:val="22"/>
        </w:rPr>
        <w:t xml:space="preserve">Pricing Model Transition: </w:t>
      </w:r>
      <w:r>
        <w:rPr>
          <w:rFonts w:ascii="Calibri" w:hAnsi="Calibri"/>
          <w:sz w:val="22"/>
        </w:rPr>
        <w:t>Shift from project-based pricing to outcome-based: charge per invoice processed, per payment matched, or per dollar accelerated in collections. This aligns with AI-native services economics and creates recurring revenue with expanding margins.</w:t>
      </w:r>
    </w:p>
    <w:p>
      <w:pPr>
        <w:pStyle w:val="Heading2"/>
      </w:pPr>
      <w:r>
        <w:t>Go-to-Market Channels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Channel</w:t>
            </w:r>
          </w:p>
        </w:tc>
        <w:tc>
          <w:tcPr>
            <w:tcW w:type="dxa" w:w="2160"/>
          </w:tcPr>
          <w:p>
            <w:r>
              <w:rPr>
                <w:rFonts w:ascii="Calibri" w:hAnsi="Calibri"/>
                <w:b/>
                <w:sz w:val="20"/>
              </w:rPr>
              <w:t>Priority</w:t>
            </w:r>
          </w:p>
        </w:tc>
        <w:tc>
          <w:tcPr>
            <w:tcW w:type="dxa" w:w="2160"/>
          </w:tcPr>
          <w:p>
            <w:r>
              <w:rPr>
                <w:rFonts w:ascii="Calibri" w:hAnsi="Calibri"/>
                <w:b/>
                <w:sz w:val="20"/>
              </w:rPr>
              <w:t>Strategy</w:t>
            </w:r>
          </w:p>
        </w:tc>
        <w:tc>
          <w:tcPr>
            <w:tcW w:type="dxa" w:w="2160"/>
          </w:tcPr>
          <w:p>
            <w:r>
              <w:rPr>
                <w:rFonts w:ascii="Calibri" w:hAnsi="Calibri"/>
                <w:b/>
                <w:sz w:val="20"/>
              </w:rPr>
              <w:t>Expected CAC</w:t>
            </w:r>
          </w:p>
        </w:tc>
      </w:tr>
      <w:tr>
        <w:tc>
          <w:tcPr>
            <w:tcW w:type="dxa" w:w="2160"/>
          </w:tcPr>
          <w:p>
            <w:r>
              <w:rPr>
                <w:rFonts w:ascii="Calibri" w:hAnsi="Calibri"/>
                <w:sz w:val="20"/>
              </w:rPr>
              <w:t>SAP Partner Ecosystem</w:t>
            </w:r>
          </w:p>
        </w:tc>
        <w:tc>
          <w:tcPr>
            <w:tcW w:type="dxa" w:w="2160"/>
          </w:tcPr>
          <w:p>
            <w:r>
              <w:rPr>
                <w:rFonts w:ascii="Calibri" w:hAnsi="Calibri"/>
                <w:sz w:val="20"/>
              </w:rPr>
              <w:t>Primary</w:t>
            </w:r>
          </w:p>
        </w:tc>
        <w:tc>
          <w:tcPr>
            <w:tcW w:type="dxa" w:w="2160"/>
          </w:tcPr>
          <w:p>
            <w:r>
              <w:rPr>
                <w:rFonts w:ascii="Calibri" w:hAnsi="Calibri"/>
                <w:sz w:val="20"/>
              </w:rPr>
              <w:t>PartnerEdge listing, co-sell with SAP AEs</w:t>
            </w:r>
          </w:p>
        </w:tc>
        <w:tc>
          <w:tcPr>
            <w:tcW w:type="dxa" w:w="2160"/>
          </w:tcPr>
          <w:p>
            <w:r>
              <w:rPr>
                <w:rFonts w:ascii="Calibri" w:hAnsi="Calibri"/>
                <w:sz w:val="20"/>
              </w:rPr>
              <w:t>$15-25K</w:t>
            </w:r>
          </w:p>
        </w:tc>
      </w:tr>
      <w:tr>
        <w:tc>
          <w:tcPr>
            <w:tcW w:type="dxa" w:w="2160"/>
          </w:tcPr>
          <w:p>
            <w:r>
              <w:rPr>
                <w:rFonts w:ascii="Calibri" w:hAnsi="Calibri"/>
                <w:sz w:val="20"/>
              </w:rPr>
              <w:t>SAP Implementation Partners</w:t>
            </w:r>
          </w:p>
        </w:tc>
        <w:tc>
          <w:tcPr>
            <w:tcW w:type="dxa" w:w="2160"/>
          </w:tcPr>
          <w:p>
            <w:r>
              <w:rPr>
                <w:rFonts w:ascii="Calibri" w:hAnsi="Calibri"/>
                <w:sz w:val="20"/>
              </w:rPr>
              <w:t>Primary</w:t>
            </w:r>
          </w:p>
        </w:tc>
        <w:tc>
          <w:tcPr>
            <w:tcW w:type="dxa" w:w="2160"/>
          </w:tcPr>
          <w:p>
            <w:r>
              <w:rPr>
                <w:rFonts w:ascii="Calibri" w:hAnsi="Calibri"/>
                <w:sz w:val="20"/>
              </w:rPr>
              <w:t>White-label for SI partners during S/4HANA migrations</w:t>
            </w:r>
          </w:p>
        </w:tc>
        <w:tc>
          <w:tcPr>
            <w:tcW w:type="dxa" w:w="2160"/>
          </w:tcPr>
          <w:p>
            <w:r>
              <w:rPr>
                <w:rFonts w:ascii="Calibri" w:hAnsi="Calibri"/>
                <w:sz w:val="20"/>
              </w:rPr>
              <w:t>$5-10K</w:t>
            </w:r>
          </w:p>
        </w:tc>
      </w:tr>
      <w:tr>
        <w:tc>
          <w:tcPr>
            <w:tcW w:type="dxa" w:w="2160"/>
          </w:tcPr>
          <w:p>
            <w:r>
              <w:rPr>
                <w:rFonts w:ascii="Calibri" w:hAnsi="Calibri"/>
                <w:sz w:val="20"/>
              </w:rPr>
              <w:t>Direct Enterprise Sales</w:t>
            </w:r>
          </w:p>
        </w:tc>
        <w:tc>
          <w:tcPr>
            <w:tcW w:type="dxa" w:w="2160"/>
          </w:tcPr>
          <w:p>
            <w:r>
              <w:rPr>
                <w:rFonts w:ascii="Calibri" w:hAnsi="Calibri"/>
                <w:sz w:val="20"/>
              </w:rPr>
              <w:t>Secondary</w:t>
            </w:r>
          </w:p>
        </w:tc>
        <w:tc>
          <w:tcPr>
            <w:tcW w:type="dxa" w:w="2160"/>
          </w:tcPr>
          <w:p>
            <w:r>
              <w:rPr>
                <w:rFonts w:ascii="Calibri" w:hAnsi="Calibri"/>
                <w:sz w:val="20"/>
              </w:rPr>
              <w:t>Target F500 companies with complex O2C workflows</w:t>
            </w:r>
          </w:p>
        </w:tc>
        <w:tc>
          <w:tcPr>
            <w:tcW w:type="dxa" w:w="2160"/>
          </w:tcPr>
          <w:p>
            <w:r>
              <w:rPr>
                <w:rFonts w:ascii="Calibri" w:hAnsi="Calibri"/>
                <w:sz w:val="20"/>
              </w:rPr>
              <w:t>$30-50K</w:t>
            </w:r>
          </w:p>
        </w:tc>
      </w:tr>
      <w:tr>
        <w:tc>
          <w:tcPr>
            <w:tcW w:type="dxa" w:w="2160"/>
          </w:tcPr>
          <w:p>
            <w:r>
              <w:rPr>
                <w:rFonts w:ascii="Calibri" w:hAnsi="Calibri"/>
                <w:sz w:val="20"/>
              </w:rPr>
              <w:t>Open-Source Community</w:t>
            </w:r>
          </w:p>
        </w:tc>
        <w:tc>
          <w:tcPr>
            <w:tcW w:type="dxa" w:w="2160"/>
          </w:tcPr>
          <w:p>
            <w:r>
              <w:rPr>
                <w:rFonts w:ascii="Calibri" w:hAnsi="Calibri"/>
                <w:sz w:val="20"/>
              </w:rPr>
              <w:t>Tertiary</w:t>
            </w:r>
          </w:p>
        </w:tc>
        <w:tc>
          <w:tcPr>
            <w:tcW w:type="dxa" w:w="2160"/>
          </w:tcPr>
          <w:p>
            <w:r>
              <w:rPr>
                <w:rFonts w:ascii="Calibri" w:hAnsi="Calibri"/>
                <w:sz w:val="20"/>
              </w:rPr>
              <w:t>GitHub-driven developer adoption, convert to enterprise</w:t>
            </w:r>
          </w:p>
        </w:tc>
        <w:tc>
          <w:tcPr>
            <w:tcW w:type="dxa" w:w="2160"/>
          </w:tcPr>
          <w:p>
            <w:r>
              <w:rPr>
                <w:rFonts w:ascii="Calibri" w:hAnsi="Calibri"/>
                <w:sz w:val="20"/>
              </w:rPr>
              <w:t>$1-3K</w:t>
            </w:r>
          </w:p>
        </w:tc>
      </w:tr>
      <w:tr>
        <w:tc>
          <w:tcPr>
            <w:tcW w:type="dxa" w:w="2160"/>
          </w:tcPr>
          <w:p>
            <w:r>
              <w:rPr>
                <w:rFonts w:ascii="Calibri" w:hAnsi="Calibri"/>
                <w:sz w:val="20"/>
              </w:rPr>
              <w:t>Industry Events</w:t>
            </w:r>
          </w:p>
        </w:tc>
        <w:tc>
          <w:tcPr>
            <w:tcW w:type="dxa" w:w="2160"/>
          </w:tcPr>
          <w:p>
            <w:r>
              <w:rPr>
                <w:rFonts w:ascii="Calibri" w:hAnsi="Calibri"/>
                <w:sz w:val="20"/>
              </w:rPr>
              <w:t>Tertiary</w:t>
            </w:r>
          </w:p>
        </w:tc>
        <w:tc>
          <w:tcPr>
            <w:tcW w:type="dxa" w:w="2160"/>
          </w:tcPr>
          <w:p>
            <w:r>
              <w:rPr>
                <w:rFonts w:ascii="Calibri" w:hAnsi="Calibri"/>
                <w:sz w:val="20"/>
              </w:rPr>
              <w:t>SAP Sapphire, SAPinsider, process mining conferences</w:t>
            </w:r>
          </w:p>
        </w:tc>
        <w:tc>
          <w:tcPr>
            <w:tcW w:type="dxa" w:w="2160"/>
          </w:tcPr>
          <w:p>
            <w:r>
              <w:rPr>
                <w:rFonts w:ascii="Calibri" w:hAnsi="Calibri"/>
                <w:sz w:val="20"/>
              </w:rPr>
              <w:t>$20-40K</w:t>
            </w:r>
          </w:p>
        </w:tc>
      </w:tr>
    </w:tbl>
    <w:p/>
    <w:p>
      <w:r>
        <w:br w:type="page"/>
      </w:r>
    </w:p>
    <w:p>
      <w:pPr>
        <w:pStyle w:val="Heading1"/>
      </w:pPr>
      <w:r>
        <w:t>7. Unit Economics &amp; Financial Model</w:t>
      </w:r>
    </w:p>
    <w:p>
      <w:pPr>
        <w:pStyle w:val="Heading2"/>
      </w:pPr>
      <w:r>
        <w:t>AI-Native SaaS Benchmarks (2025-2026)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Metric</w:t>
            </w:r>
          </w:p>
        </w:tc>
        <w:tc>
          <w:tcPr>
            <w:tcW w:type="dxa" w:w="2160"/>
          </w:tcPr>
          <w:p>
            <w:r>
              <w:rPr>
                <w:rFonts w:ascii="Calibri" w:hAnsi="Calibri"/>
                <w:b/>
                <w:sz w:val="20"/>
              </w:rPr>
              <w:t>Traditional SaaS</w:t>
            </w:r>
          </w:p>
        </w:tc>
        <w:tc>
          <w:tcPr>
            <w:tcW w:type="dxa" w:w="2160"/>
          </w:tcPr>
          <w:p>
            <w:r>
              <w:rPr>
                <w:rFonts w:ascii="Calibri" w:hAnsi="Calibri"/>
                <w:b/>
                <w:sz w:val="20"/>
              </w:rPr>
              <w:t>AI-Native SaaS</w:t>
            </w:r>
          </w:p>
        </w:tc>
        <w:tc>
          <w:tcPr>
            <w:tcW w:type="dxa" w:w="2160"/>
          </w:tcPr>
          <w:p>
            <w:r>
              <w:rPr>
                <w:rFonts w:ascii="Calibri" w:hAnsi="Calibri"/>
                <w:b/>
                <w:sz w:val="20"/>
              </w:rPr>
              <w:t>SAP O2C Target</w:t>
            </w:r>
          </w:p>
        </w:tc>
      </w:tr>
      <w:tr>
        <w:tc>
          <w:tcPr>
            <w:tcW w:type="dxa" w:w="2160"/>
          </w:tcPr>
          <w:p>
            <w:r>
              <w:rPr>
                <w:rFonts w:ascii="Calibri" w:hAnsi="Calibri"/>
                <w:sz w:val="20"/>
              </w:rPr>
              <w:t>Gross Margin</w:t>
            </w:r>
          </w:p>
        </w:tc>
        <w:tc>
          <w:tcPr>
            <w:tcW w:type="dxa" w:w="2160"/>
          </w:tcPr>
          <w:p>
            <w:r>
              <w:rPr>
                <w:rFonts w:ascii="Calibri" w:hAnsi="Calibri"/>
                <w:sz w:val="20"/>
              </w:rPr>
              <w:t>70-85%</w:t>
            </w:r>
          </w:p>
        </w:tc>
        <w:tc>
          <w:tcPr>
            <w:tcW w:type="dxa" w:w="2160"/>
          </w:tcPr>
          <w:p>
            <w:r>
              <w:rPr>
                <w:rFonts w:ascii="Calibri" w:hAnsi="Calibri"/>
                <w:sz w:val="20"/>
              </w:rPr>
              <w:t>50-65%</w:t>
            </w:r>
          </w:p>
        </w:tc>
        <w:tc>
          <w:tcPr>
            <w:tcW w:type="dxa" w:w="2160"/>
          </w:tcPr>
          <w:p>
            <w:r>
              <w:rPr>
                <w:rFonts w:ascii="Calibri" w:hAnsi="Calibri"/>
                <w:sz w:val="20"/>
              </w:rPr>
              <w:t>60-70% (Year 1), 70%+ (Year 3)</w:t>
            </w:r>
          </w:p>
        </w:tc>
      </w:tr>
      <w:tr>
        <w:tc>
          <w:tcPr>
            <w:tcW w:type="dxa" w:w="2160"/>
          </w:tcPr>
          <w:p>
            <w:r>
              <w:rPr>
                <w:rFonts w:ascii="Calibri" w:hAnsi="Calibri"/>
                <w:sz w:val="20"/>
              </w:rPr>
              <w:t>Revenue Per Employee</w:t>
            </w:r>
          </w:p>
        </w:tc>
        <w:tc>
          <w:tcPr>
            <w:tcW w:type="dxa" w:w="2160"/>
          </w:tcPr>
          <w:p>
            <w:r>
              <w:rPr>
                <w:rFonts w:ascii="Calibri" w:hAnsi="Calibri"/>
                <w:sz w:val="20"/>
              </w:rPr>
              <w:t>$283K (public median)</w:t>
            </w:r>
          </w:p>
        </w:tc>
        <w:tc>
          <w:tcPr>
            <w:tcW w:type="dxa" w:w="2160"/>
          </w:tcPr>
          <w:p>
            <w:r>
              <w:rPr>
                <w:rFonts w:ascii="Calibri" w:hAnsi="Calibri"/>
                <w:sz w:val="20"/>
              </w:rPr>
              <w:t>3x faster growth</w:t>
            </w:r>
          </w:p>
        </w:tc>
        <w:tc>
          <w:tcPr>
            <w:tcW w:type="dxa" w:w="2160"/>
          </w:tcPr>
          <w:p>
            <w:r>
              <w:rPr>
                <w:rFonts w:ascii="Calibri" w:hAnsi="Calibri"/>
                <w:sz w:val="20"/>
              </w:rPr>
              <w:t>$200K (Year 1), $400K+ (Year 3)</w:t>
            </w:r>
          </w:p>
        </w:tc>
      </w:tr>
      <w:tr>
        <w:tc>
          <w:tcPr>
            <w:tcW w:type="dxa" w:w="2160"/>
          </w:tcPr>
          <w:p>
            <w:r>
              <w:rPr>
                <w:rFonts w:ascii="Calibri" w:hAnsi="Calibri"/>
                <w:sz w:val="20"/>
              </w:rPr>
              <w:t>Burn Multiple</w:t>
            </w:r>
          </w:p>
        </w:tc>
        <w:tc>
          <w:tcPr>
            <w:tcW w:type="dxa" w:w="2160"/>
          </w:tcPr>
          <w:p>
            <w:r>
              <w:rPr>
                <w:rFonts w:ascii="Calibri" w:hAnsi="Calibri"/>
                <w:sz w:val="20"/>
              </w:rPr>
              <w:t>1.5-2.5x</w:t>
            </w:r>
          </w:p>
        </w:tc>
        <w:tc>
          <w:tcPr>
            <w:tcW w:type="dxa" w:w="2160"/>
          </w:tcPr>
          <w:p>
            <w:r>
              <w:rPr>
                <w:rFonts w:ascii="Calibri" w:hAnsi="Calibri"/>
                <w:sz w:val="20"/>
              </w:rPr>
              <w:t>0.8-1.2x</w:t>
            </w:r>
          </w:p>
        </w:tc>
        <w:tc>
          <w:tcPr>
            <w:tcW w:type="dxa" w:w="2160"/>
          </w:tcPr>
          <w:p>
            <w:r>
              <w:rPr>
                <w:rFonts w:ascii="Calibri" w:hAnsi="Calibri"/>
                <w:sz w:val="20"/>
              </w:rPr>
              <w:t>&lt; 1.5x</w:t>
            </w:r>
          </w:p>
        </w:tc>
      </w:tr>
      <w:tr>
        <w:tc>
          <w:tcPr>
            <w:tcW w:type="dxa" w:w="2160"/>
          </w:tcPr>
          <w:p>
            <w:r>
              <w:rPr>
                <w:rFonts w:ascii="Calibri" w:hAnsi="Calibri"/>
                <w:sz w:val="20"/>
              </w:rPr>
              <w:t>Net Revenue Retention</w:t>
            </w:r>
          </w:p>
        </w:tc>
        <w:tc>
          <w:tcPr>
            <w:tcW w:type="dxa" w:w="2160"/>
          </w:tcPr>
          <w:p>
            <w:r>
              <w:rPr>
                <w:rFonts w:ascii="Calibri" w:hAnsi="Calibri"/>
                <w:sz w:val="20"/>
              </w:rPr>
              <w:t>105-115%</w:t>
            </w:r>
          </w:p>
        </w:tc>
        <w:tc>
          <w:tcPr>
            <w:tcW w:type="dxa" w:w="2160"/>
          </w:tcPr>
          <w:p>
            <w:r>
              <w:rPr>
                <w:rFonts w:ascii="Calibri" w:hAnsi="Calibri"/>
                <w:sz w:val="20"/>
              </w:rPr>
              <w:t>120%+ (outcome-based)</w:t>
            </w:r>
          </w:p>
        </w:tc>
        <w:tc>
          <w:tcPr>
            <w:tcW w:type="dxa" w:w="2160"/>
          </w:tcPr>
          <w:p>
            <w:r>
              <w:rPr>
                <w:rFonts w:ascii="Calibri" w:hAnsi="Calibri"/>
                <w:sz w:val="20"/>
              </w:rPr>
              <w:t>115%+ target</w:t>
            </w:r>
          </w:p>
        </w:tc>
      </w:tr>
      <w:tr>
        <w:tc>
          <w:tcPr>
            <w:tcW w:type="dxa" w:w="2160"/>
          </w:tcPr>
          <w:p>
            <w:r>
              <w:rPr>
                <w:rFonts w:ascii="Calibri" w:hAnsi="Calibri"/>
                <w:sz w:val="20"/>
              </w:rPr>
              <w:t>CAC Payback</w:t>
            </w:r>
          </w:p>
        </w:tc>
        <w:tc>
          <w:tcPr>
            <w:tcW w:type="dxa" w:w="2160"/>
          </w:tcPr>
          <w:p>
            <w:r>
              <w:rPr>
                <w:rFonts w:ascii="Calibri" w:hAnsi="Calibri"/>
                <w:sz w:val="20"/>
              </w:rPr>
              <w:t>18-24 months</w:t>
            </w:r>
          </w:p>
        </w:tc>
        <w:tc>
          <w:tcPr>
            <w:tcW w:type="dxa" w:w="2160"/>
          </w:tcPr>
          <w:p>
            <w:r>
              <w:rPr>
                <w:rFonts w:ascii="Calibri" w:hAnsi="Calibri"/>
                <w:sz w:val="20"/>
              </w:rPr>
              <w:t>12-18 months</w:t>
            </w:r>
          </w:p>
        </w:tc>
        <w:tc>
          <w:tcPr>
            <w:tcW w:type="dxa" w:w="2160"/>
          </w:tcPr>
          <w:p>
            <w:r>
              <w:rPr>
                <w:rFonts w:ascii="Calibri" w:hAnsi="Calibri"/>
                <w:sz w:val="20"/>
              </w:rPr>
              <w:t>12-15 months</w:t>
            </w:r>
          </w:p>
        </w:tc>
      </w:tr>
      <w:tr>
        <w:tc>
          <w:tcPr>
            <w:tcW w:type="dxa" w:w="2160"/>
          </w:tcPr>
          <w:p>
            <w:r>
              <w:rPr>
                <w:rFonts w:ascii="Calibri" w:hAnsi="Calibri"/>
                <w:sz w:val="20"/>
              </w:rPr>
              <w:t>Rule of 40</w:t>
            </w:r>
          </w:p>
        </w:tc>
        <w:tc>
          <w:tcPr>
            <w:tcW w:type="dxa" w:w="2160"/>
          </w:tcPr>
          <w:p>
            <w:r>
              <w:rPr>
                <w:rFonts w:ascii="Calibri" w:hAnsi="Calibri"/>
                <w:sz w:val="20"/>
              </w:rPr>
              <w:t>20-30%</w:t>
            </w:r>
          </w:p>
        </w:tc>
        <w:tc>
          <w:tcPr>
            <w:tcW w:type="dxa" w:w="2160"/>
          </w:tcPr>
          <w:p>
            <w:r>
              <w:rPr>
                <w:rFonts w:ascii="Calibri" w:hAnsi="Calibri"/>
                <w:sz w:val="20"/>
              </w:rPr>
              <w:t>30-50%</w:t>
            </w:r>
          </w:p>
        </w:tc>
        <w:tc>
          <w:tcPr>
            <w:tcW w:type="dxa" w:w="2160"/>
          </w:tcPr>
          <w:p>
            <w:r>
              <w:rPr>
                <w:rFonts w:ascii="Calibri" w:hAnsi="Calibri"/>
                <w:sz w:val="20"/>
              </w:rPr>
              <w:t>40%+ target</w:t>
            </w:r>
          </w:p>
        </w:tc>
      </w:tr>
    </w:tbl>
    <w:p/>
    <w:p>
      <w:pPr>
        <w:pStyle w:val="Heading2"/>
      </w:pPr>
      <w:r>
        <w:t>Pricing 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Model</w:t>
            </w:r>
          </w:p>
        </w:tc>
        <w:tc>
          <w:tcPr>
            <w:tcW w:type="dxa" w:w="1728"/>
          </w:tcPr>
          <w:p>
            <w:r>
              <w:rPr>
                <w:rFonts w:ascii="Calibri" w:hAnsi="Calibri"/>
                <w:b/>
                <w:sz w:val="20"/>
              </w:rPr>
              <w:t>Description</w:t>
            </w:r>
          </w:p>
        </w:tc>
        <w:tc>
          <w:tcPr>
            <w:tcW w:type="dxa" w:w="1728"/>
          </w:tcPr>
          <w:p>
            <w:r>
              <w:rPr>
                <w:rFonts w:ascii="Calibri" w:hAnsi="Calibri"/>
                <w:b/>
                <w:sz w:val="20"/>
              </w:rPr>
              <w:t>Pros</w:t>
            </w:r>
          </w:p>
        </w:tc>
        <w:tc>
          <w:tcPr>
            <w:tcW w:type="dxa" w:w="1728"/>
          </w:tcPr>
          <w:p>
            <w:r>
              <w:rPr>
                <w:rFonts w:ascii="Calibri" w:hAnsi="Calibri"/>
                <w:b/>
                <w:sz w:val="20"/>
              </w:rPr>
              <w:t>Cons</w:t>
            </w:r>
          </w:p>
        </w:tc>
        <w:tc>
          <w:tcPr>
            <w:tcW w:type="dxa" w:w="1728"/>
          </w:tcPr>
          <w:p>
            <w:r>
              <w:rPr>
                <w:rFonts w:ascii="Calibri" w:hAnsi="Calibri"/>
                <w:b/>
                <w:sz w:val="20"/>
              </w:rPr>
              <w:t>Best For</w:t>
            </w:r>
          </w:p>
        </w:tc>
      </w:tr>
      <w:tr>
        <w:tc>
          <w:tcPr>
            <w:tcW w:type="dxa" w:w="1728"/>
          </w:tcPr>
          <w:p>
            <w:r>
              <w:rPr>
                <w:rFonts w:ascii="Calibri" w:hAnsi="Calibri"/>
                <w:sz w:val="20"/>
              </w:rPr>
              <w:t>Per-Seat SaaS</w:t>
            </w:r>
          </w:p>
        </w:tc>
        <w:tc>
          <w:tcPr>
            <w:tcW w:type="dxa" w:w="1728"/>
          </w:tcPr>
          <w:p>
            <w:r>
              <w:rPr>
                <w:rFonts w:ascii="Calibri" w:hAnsi="Calibri"/>
                <w:sz w:val="20"/>
              </w:rPr>
              <w:t>$500-5K/user/month</w:t>
            </w:r>
          </w:p>
        </w:tc>
        <w:tc>
          <w:tcPr>
            <w:tcW w:type="dxa" w:w="1728"/>
          </w:tcPr>
          <w:p>
            <w:r>
              <w:rPr>
                <w:rFonts w:ascii="Calibri" w:hAnsi="Calibri"/>
                <w:sz w:val="20"/>
              </w:rPr>
              <w:t>Predictable revenue</w:t>
            </w:r>
          </w:p>
        </w:tc>
        <w:tc>
          <w:tcPr>
            <w:tcW w:type="dxa" w:w="1728"/>
          </w:tcPr>
          <w:p>
            <w:r>
              <w:rPr>
                <w:rFonts w:ascii="Calibri" w:hAnsi="Calibri"/>
                <w:sz w:val="20"/>
              </w:rPr>
              <w:t>Low TAM capture</w:t>
            </w:r>
          </w:p>
        </w:tc>
        <w:tc>
          <w:tcPr>
            <w:tcW w:type="dxa" w:w="1728"/>
          </w:tcPr>
          <w:p>
            <w:r>
              <w:rPr>
                <w:rFonts w:ascii="Calibri" w:hAnsi="Calibri"/>
                <w:sz w:val="20"/>
              </w:rPr>
              <w:t>Copilot tools</w:t>
            </w:r>
          </w:p>
        </w:tc>
      </w:tr>
      <w:tr>
        <w:tc>
          <w:tcPr>
            <w:tcW w:type="dxa" w:w="1728"/>
          </w:tcPr>
          <w:p>
            <w:r>
              <w:rPr>
                <w:rFonts w:ascii="Calibri" w:hAnsi="Calibri"/>
                <w:sz w:val="20"/>
              </w:rPr>
              <w:t>Per-Transaction</w:t>
            </w:r>
          </w:p>
        </w:tc>
        <w:tc>
          <w:tcPr>
            <w:tcW w:type="dxa" w:w="1728"/>
          </w:tcPr>
          <w:p>
            <w:r>
              <w:rPr>
                <w:rFonts w:ascii="Calibri" w:hAnsi="Calibri"/>
                <w:sz w:val="20"/>
              </w:rPr>
              <w:t>$0.50-5 per invoice/payment</w:t>
            </w:r>
          </w:p>
        </w:tc>
        <w:tc>
          <w:tcPr>
            <w:tcW w:type="dxa" w:w="1728"/>
          </w:tcPr>
          <w:p>
            <w:r>
              <w:rPr>
                <w:rFonts w:ascii="Calibri" w:hAnsi="Calibri"/>
                <w:sz w:val="20"/>
              </w:rPr>
              <w:t>Scales with usage</w:t>
            </w:r>
          </w:p>
        </w:tc>
        <w:tc>
          <w:tcPr>
            <w:tcW w:type="dxa" w:w="1728"/>
          </w:tcPr>
          <w:p>
            <w:r>
              <w:rPr>
                <w:rFonts w:ascii="Calibri" w:hAnsi="Calibri"/>
                <w:sz w:val="20"/>
              </w:rPr>
              <w:t>Revenue volatility</w:t>
            </w:r>
          </w:p>
        </w:tc>
        <w:tc>
          <w:tcPr>
            <w:tcW w:type="dxa" w:w="1728"/>
          </w:tcPr>
          <w:p>
            <w:r>
              <w:rPr>
                <w:rFonts w:ascii="Calibri" w:hAnsi="Calibri"/>
                <w:sz w:val="20"/>
              </w:rPr>
              <w:t>High-volume O2C</w:t>
            </w:r>
          </w:p>
        </w:tc>
      </w:tr>
      <w:tr>
        <w:tc>
          <w:tcPr>
            <w:tcW w:type="dxa" w:w="1728"/>
          </w:tcPr>
          <w:p>
            <w:r>
              <w:rPr>
                <w:rFonts w:ascii="Calibri" w:hAnsi="Calibri"/>
                <w:sz w:val="20"/>
              </w:rPr>
              <w:t>Outcome-Based</w:t>
            </w:r>
          </w:p>
        </w:tc>
        <w:tc>
          <w:tcPr>
            <w:tcW w:type="dxa" w:w="1728"/>
          </w:tcPr>
          <w:p>
            <w:r>
              <w:rPr>
                <w:rFonts w:ascii="Calibri" w:hAnsi="Calibri"/>
                <w:sz w:val="20"/>
              </w:rPr>
              <w:t>% of cash collected or DSO reduction</w:t>
            </w:r>
          </w:p>
        </w:tc>
        <w:tc>
          <w:tcPr>
            <w:tcW w:type="dxa" w:w="1728"/>
          </w:tcPr>
          <w:p>
            <w:r>
              <w:rPr>
                <w:rFonts w:ascii="Calibri" w:hAnsi="Calibri"/>
                <w:sz w:val="20"/>
              </w:rPr>
              <w:t>Highest value capture</w:t>
            </w:r>
          </w:p>
        </w:tc>
        <w:tc>
          <w:tcPr>
            <w:tcW w:type="dxa" w:w="1728"/>
          </w:tcPr>
          <w:p>
            <w:r>
              <w:rPr>
                <w:rFonts w:ascii="Calibri" w:hAnsi="Calibri"/>
                <w:sz w:val="20"/>
              </w:rPr>
              <w:t>Attribution complexity</w:t>
            </w:r>
          </w:p>
        </w:tc>
        <w:tc>
          <w:tcPr>
            <w:tcW w:type="dxa" w:w="1728"/>
          </w:tcPr>
          <w:p>
            <w:r>
              <w:rPr>
                <w:rFonts w:ascii="Calibri" w:hAnsi="Calibri"/>
                <w:sz w:val="20"/>
              </w:rPr>
              <w:t>Collections AI</w:t>
            </w:r>
          </w:p>
        </w:tc>
      </w:tr>
      <w:tr>
        <w:tc>
          <w:tcPr>
            <w:tcW w:type="dxa" w:w="1728"/>
          </w:tcPr>
          <w:p>
            <w:r>
              <w:rPr>
                <w:rFonts w:ascii="Calibri" w:hAnsi="Calibri"/>
                <w:sz w:val="20"/>
              </w:rPr>
              <w:t>Hybrid</w:t>
            </w:r>
          </w:p>
        </w:tc>
        <w:tc>
          <w:tcPr>
            <w:tcW w:type="dxa" w:w="1728"/>
          </w:tcPr>
          <w:p>
            <w:r>
              <w:rPr>
                <w:rFonts w:ascii="Calibri" w:hAnsi="Calibri"/>
                <w:sz w:val="20"/>
              </w:rPr>
              <w:t>Base + usage + performance bonus</w:t>
            </w:r>
          </w:p>
        </w:tc>
        <w:tc>
          <w:tcPr>
            <w:tcW w:type="dxa" w:w="1728"/>
          </w:tcPr>
          <w:p>
            <w:r>
              <w:rPr>
                <w:rFonts w:ascii="Calibri" w:hAnsi="Calibri"/>
                <w:sz w:val="20"/>
              </w:rPr>
              <w:t>Balanced risk</w:t>
            </w:r>
          </w:p>
        </w:tc>
        <w:tc>
          <w:tcPr>
            <w:tcW w:type="dxa" w:w="1728"/>
          </w:tcPr>
          <w:p>
            <w:r>
              <w:rPr>
                <w:rFonts w:ascii="Calibri" w:hAnsi="Calibri"/>
                <w:sz w:val="20"/>
              </w:rPr>
              <w:t>Complex billing</w:t>
            </w:r>
          </w:p>
        </w:tc>
        <w:tc>
          <w:tcPr>
            <w:tcW w:type="dxa" w:w="1728"/>
          </w:tcPr>
          <w:p>
            <w:r>
              <w:rPr>
                <w:rFonts w:ascii="Calibri" w:hAnsi="Calibri"/>
                <w:sz w:val="20"/>
              </w:rPr>
              <w:t>Enterprise contracts</w:t>
            </w:r>
          </w:p>
        </w:tc>
      </w:tr>
      <w:tr>
        <w:tc>
          <w:tcPr>
            <w:tcW w:type="dxa" w:w="1728"/>
          </w:tcPr>
          <w:p>
            <w:r>
              <w:rPr>
                <w:rFonts w:ascii="Calibri" w:hAnsi="Calibri"/>
                <w:sz w:val="20"/>
              </w:rPr>
              <w:t>Platform License</w:t>
            </w:r>
          </w:p>
        </w:tc>
        <w:tc>
          <w:tcPr>
            <w:tcW w:type="dxa" w:w="1728"/>
          </w:tcPr>
          <w:p>
            <w:r>
              <w:rPr>
                <w:rFonts w:ascii="Calibri" w:hAnsi="Calibri"/>
                <w:sz w:val="20"/>
              </w:rPr>
              <w:t>$50-500K/year + implementation</w:t>
            </w:r>
          </w:p>
        </w:tc>
        <w:tc>
          <w:tcPr>
            <w:tcW w:type="dxa" w:w="1728"/>
          </w:tcPr>
          <w:p>
            <w:r>
              <w:rPr>
                <w:rFonts w:ascii="Calibri" w:hAnsi="Calibri"/>
                <w:sz w:val="20"/>
              </w:rPr>
              <w:t>Large ACV</w:t>
            </w:r>
          </w:p>
        </w:tc>
        <w:tc>
          <w:tcPr>
            <w:tcW w:type="dxa" w:w="1728"/>
          </w:tcPr>
          <w:p>
            <w:r>
              <w:rPr>
                <w:rFonts w:ascii="Calibri" w:hAnsi="Calibri"/>
                <w:sz w:val="20"/>
              </w:rPr>
              <w:t>Long sales cycles</w:t>
            </w:r>
          </w:p>
        </w:tc>
        <w:tc>
          <w:tcPr>
            <w:tcW w:type="dxa" w:w="1728"/>
          </w:tcPr>
          <w:p>
            <w:r>
              <w:rPr>
                <w:rFonts w:ascii="Calibri" w:hAnsi="Calibri"/>
                <w:sz w:val="20"/>
              </w:rPr>
              <w:t>Full O2C suites</w:t>
            </w:r>
          </w:p>
        </w:tc>
      </w:tr>
    </w:tbl>
    <w:p/>
    <w:p>
      <w:pPr>
        <w:pStyle w:val="Heading2"/>
      </w:pPr>
      <w:r>
        <w:t>Cost Structure: AI-Native O2C Automation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Cost Category</w:t>
            </w:r>
          </w:p>
        </w:tc>
        <w:tc>
          <w:tcPr>
            <w:tcW w:type="dxa" w:w="2160"/>
          </w:tcPr>
          <w:p>
            <w:r>
              <w:rPr>
                <w:rFonts w:ascii="Calibri" w:hAnsi="Calibri"/>
                <w:b/>
                <w:sz w:val="20"/>
              </w:rPr>
              <w:t>% of Revenue (Year 1)</w:t>
            </w:r>
          </w:p>
        </w:tc>
        <w:tc>
          <w:tcPr>
            <w:tcW w:type="dxa" w:w="2160"/>
          </w:tcPr>
          <w:p>
            <w:r>
              <w:rPr>
                <w:rFonts w:ascii="Calibri" w:hAnsi="Calibri"/>
                <w:b/>
                <w:sz w:val="20"/>
              </w:rPr>
              <w:t>% of Revenue (Year 3)</w:t>
            </w:r>
          </w:p>
        </w:tc>
        <w:tc>
          <w:tcPr>
            <w:tcW w:type="dxa" w:w="2160"/>
          </w:tcPr>
          <w:p>
            <w:r>
              <w:rPr>
                <w:rFonts w:ascii="Calibri" w:hAnsi="Calibri"/>
                <w:b/>
                <w:sz w:val="20"/>
              </w:rPr>
              <w:t>Key Driver</w:t>
            </w:r>
          </w:p>
        </w:tc>
      </w:tr>
      <w:tr>
        <w:tc>
          <w:tcPr>
            <w:tcW w:type="dxa" w:w="2160"/>
          </w:tcPr>
          <w:p>
            <w:r>
              <w:rPr>
                <w:rFonts w:ascii="Calibri" w:hAnsi="Calibri"/>
                <w:sz w:val="20"/>
              </w:rPr>
              <w:t>LLM API Costs (Gemini/GPT)</w:t>
            </w:r>
          </w:p>
        </w:tc>
        <w:tc>
          <w:tcPr>
            <w:tcW w:type="dxa" w:w="2160"/>
          </w:tcPr>
          <w:p>
            <w:r>
              <w:rPr>
                <w:rFonts w:ascii="Calibri" w:hAnsi="Calibri"/>
                <w:sz w:val="20"/>
              </w:rPr>
              <w:t>15-25%</w:t>
            </w:r>
          </w:p>
        </w:tc>
        <w:tc>
          <w:tcPr>
            <w:tcW w:type="dxa" w:w="2160"/>
          </w:tcPr>
          <w:p>
            <w:r>
              <w:rPr>
                <w:rFonts w:ascii="Calibri" w:hAnsi="Calibri"/>
                <w:sz w:val="20"/>
              </w:rPr>
              <w:t>8-12%</w:t>
            </w:r>
          </w:p>
        </w:tc>
        <w:tc>
          <w:tcPr>
            <w:tcW w:type="dxa" w:w="2160"/>
          </w:tcPr>
          <w:p>
            <w:r>
              <w:rPr>
                <w:rFonts w:ascii="Calibri" w:hAnsi="Calibri"/>
                <w:sz w:val="20"/>
              </w:rPr>
              <w:t>Volume discounts, model efficiency gains</w:t>
            </w:r>
          </w:p>
        </w:tc>
      </w:tr>
      <w:tr>
        <w:tc>
          <w:tcPr>
            <w:tcW w:type="dxa" w:w="2160"/>
          </w:tcPr>
          <w:p>
            <w:r>
              <w:rPr>
                <w:rFonts w:ascii="Calibri" w:hAnsi="Calibri"/>
                <w:sz w:val="20"/>
              </w:rPr>
              <w:t>Cloud Infrastructure</w:t>
            </w:r>
          </w:p>
        </w:tc>
        <w:tc>
          <w:tcPr>
            <w:tcW w:type="dxa" w:w="2160"/>
          </w:tcPr>
          <w:p>
            <w:r>
              <w:rPr>
                <w:rFonts w:ascii="Calibri" w:hAnsi="Calibri"/>
                <w:sz w:val="20"/>
              </w:rPr>
              <w:t>10-15%</w:t>
            </w:r>
          </w:p>
        </w:tc>
        <w:tc>
          <w:tcPr>
            <w:tcW w:type="dxa" w:w="2160"/>
          </w:tcPr>
          <w:p>
            <w:r>
              <w:rPr>
                <w:rFonts w:ascii="Calibri" w:hAnsi="Calibri"/>
                <w:sz w:val="20"/>
              </w:rPr>
              <w:t>8-10%</w:t>
            </w:r>
          </w:p>
        </w:tc>
        <w:tc>
          <w:tcPr>
            <w:tcW w:type="dxa" w:w="2160"/>
          </w:tcPr>
          <w:p>
            <w:r>
              <w:rPr>
                <w:rFonts w:ascii="Calibri" w:hAnsi="Calibri"/>
                <w:sz w:val="20"/>
              </w:rPr>
              <w:t>BTP/GCP hosting, MCP server scaling</w:t>
            </w:r>
          </w:p>
        </w:tc>
      </w:tr>
      <w:tr>
        <w:tc>
          <w:tcPr>
            <w:tcW w:type="dxa" w:w="2160"/>
          </w:tcPr>
          <w:p>
            <w:r>
              <w:rPr>
                <w:rFonts w:ascii="Calibri" w:hAnsi="Calibri"/>
                <w:sz w:val="20"/>
              </w:rPr>
              <w:t>Engineering (R&amp;D)</w:t>
            </w:r>
          </w:p>
        </w:tc>
        <w:tc>
          <w:tcPr>
            <w:tcW w:type="dxa" w:w="2160"/>
          </w:tcPr>
          <w:p>
            <w:r>
              <w:rPr>
                <w:rFonts w:ascii="Calibri" w:hAnsi="Calibri"/>
                <w:sz w:val="20"/>
              </w:rPr>
              <w:t>35-45%</w:t>
            </w:r>
          </w:p>
        </w:tc>
        <w:tc>
          <w:tcPr>
            <w:tcW w:type="dxa" w:w="2160"/>
          </w:tcPr>
          <w:p>
            <w:r>
              <w:rPr>
                <w:rFonts w:ascii="Calibri" w:hAnsi="Calibri"/>
                <w:sz w:val="20"/>
              </w:rPr>
              <w:t>25-30%</w:t>
            </w:r>
          </w:p>
        </w:tc>
        <w:tc>
          <w:tcPr>
            <w:tcW w:type="dxa" w:w="2160"/>
          </w:tcPr>
          <w:p>
            <w:r>
              <w:rPr>
                <w:rFonts w:ascii="Calibri" w:hAnsi="Calibri"/>
                <w:sz w:val="20"/>
              </w:rPr>
              <w:t>Agent development, SAP integration depth</w:t>
            </w:r>
          </w:p>
        </w:tc>
      </w:tr>
      <w:tr>
        <w:tc>
          <w:tcPr>
            <w:tcW w:type="dxa" w:w="2160"/>
          </w:tcPr>
          <w:p>
            <w:r>
              <w:rPr>
                <w:rFonts w:ascii="Calibri" w:hAnsi="Calibri"/>
                <w:sz w:val="20"/>
              </w:rPr>
              <w:t>Sales &amp; Marketing</w:t>
            </w:r>
          </w:p>
        </w:tc>
        <w:tc>
          <w:tcPr>
            <w:tcW w:type="dxa" w:w="2160"/>
          </w:tcPr>
          <w:p>
            <w:r>
              <w:rPr>
                <w:rFonts w:ascii="Calibri" w:hAnsi="Calibri"/>
                <w:sz w:val="20"/>
              </w:rPr>
              <w:t>20-30%</w:t>
            </w:r>
          </w:p>
        </w:tc>
        <w:tc>
          <w:tcPr>
            <w:tcW w:type="dxa" w:w="2160"/>
          </w:tcPr>
          <w:p>
            <w:r>
              <w:rPr>
                <w:rFonts w:ascii="Calibri" w:hAnsi="Calibri"/>
                <w:sz w:val="20"/>
              </w:rPr>
              <w:t>15-20%</w:t>
            </w:r>
          </w:p>
        </w:tc>
        <w:tc>
          <w:tcPr>
            <w:tcW w:type="dxa" w:w="2160"/>
          </w:tcPr>
          <w:p>
            <w:r>
              <w:rPr>
                <w:rFonts w:ascii="Calibri" w:hAnsi="Calibri"/>
                <w:sz w:val="20"/>
              </w:rPr>
              <w:t>SAP partner ecosystem, enterprise sales</w:t>
            </w:r>
          </w:p>
        </w:tc>
      </w:tr>
      <w:tr>
        <w:tc>
          <w:tcPr>
            <w:tcW w:type="dxa" w:w="2160"/>
          </w:tcPr>
          <w:p>
            <w:r>
              <w:rPr>
                <w:rFonts w:ascii="Calibri" w:hAnsi="Calibri"/>
                <w:sz w:val="20"/>
              </w:rPr>
              <w:t>Customer Success</w:t>
            </w:r>
          </w:p>
        </w:tc>
        <w:tc>
          <w:tcPr>
            <w:tcW w:type="dxa" w:w="2160"/>
          </w:tcPr>
          <w:p>
            <w:r>
              <w:rPr>
                <w:rFonts w:ascii="Calibri" w:hAnsi="Calibri"/>
                <w:sz w:val="20"/>
              </w:rPr>
              <w:t>10-15%</w:t>
            </w:r>
          </w:p>
        </w:tc>
        <w:tc>
          <w:tcPr>
            <w:tcW w:type="dxa" w:w="2160"/>
          </w:tcPr>
          <w:p>
            <w:r>
              <w:rPr>
                <w:rFonts w:ascii="Calibri" w:hAnsi="Calibri"/>
                <w:sz w:val="20"/>
              </w:rPr>
              <w:t>5-10%</w:t>
            </w:r>
          </w:p>
        </w:tc>
        <w:tc>
          <w:tcPr>
            <w:tcW w:type="dxa" w:w="2160"/>
          </w:tcPr>
          <w:p>
            <w:r>
              <w:rPr>
                <w:rFonts w:ascii="Calibri" w:hAnsi="Calibri"/>
                <w:sz w:val="20"/>
              </w:rPr>
              <w:t>Pilot onboarding, agent tuning</w:t>
            </w:r>
          </w:p>
        </w:tc>
      </w:tr>
      <w:tr>
        <w:tc>
          <w:tcPr>
            <w:tcW w:type="dxa" w:w="2160"/>
          </w:tcPr>
          <w:p>
            <w:r>
              <w:rPr>
                <w:rFonts w:ascii="Calibri" w:hAnsi="Calibri"/>
                <w:sz w:val="20"/>
              </w:rPr>
              <w:t>G&amp;A</w:t>
            </w:r>
          </w:p>
        </w:tc>
        <w:tc>
          <w:tcPr>
            <w:tcW w:type="dxa" w:w="2160"/>
          </w:tcPr>
          <w:p>
            <w:r>
              <w:rPr>
                <w:rFonts w:ascii="Calibri" w:hAnsi="Calibri"/>
                <w:sz w:val="20"/>
              </w:rPr>
              <w:t>8-12%</w:t>
            </w:r>
          </w:p>
        </w:tc>
        <w:tc>
          <w:tcPr>
            <w:tcW w:type="dxa" w:w="2160"/>
          </w:tcPr>
          <w:p>
            <w:r>
              <w:rPr>
                <w:rFonts w:ascii="Calibri" w:hAnsi="Calibri"/>
                <w:sz w:val="20"/>
              </w:rPr>
              <w:t>5-8%</w:t>
            </w:r>
          </w:p>
        </w:tc>
        <w:tc>
          <w:tcPr>
            <w:tcW w:type="dxa" w:w="2160"/>
          </w:tcPr>
          <w:p>
            <w:r>
              <w:rPr>
                <w:rFonts w:ascii="Calibri" w:hAnsi="Calibri"/>
                <w:sz w:val="20"/>
              </w:rPr>
              <w:t>Standard overhead</w:t>
            </w:r>
          </w:p>
        </w:tc>
      </w:tr>
    </w:tbl>
    <w:p/>
    <w:p>
      <w:r>
        <w:br w:type="page"/>
      </w:r>
    </w:p>
    <w:p>
      <w:pPr>
        <w:pStyle w:val="Heading1"/>
      </w:pPr>
      <w:r>
        <w:t>8. Competitive Moats &amp; Defensibility</w:t>
      </w:r>
    </w:p>
    <w:p>
      <w:pPr>
        <w:pStyle w:val="Heading2"/>
      </w:pPr>
      <w:r>
        <w:t>Defensibility Framework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Moat Type</w:t>
            </w:r>
          </w:p>
        </w:tc>
        <w:tc>
          <w:tcPr>
            <w:tcW w:type="dxa" w:w="2160"/>
          </w:tcPr>
          <w:p>
            <w:r>
              <w:rPr>
                <w:rFonts w:ascii="Calibri" w:hAnsi="Calibri"/>
                <w:b/>
                <w:sz w:val="20"/>
              </w:rPr>
              <w:t>Description</w:t>
            </w:r>
          </w:p>
        </w:tc>
        <w:tc>
          <w:tcPr>
            <w:tcW w:type="dxa" w:w="2160"/>
          </w:tcPr>
          <w:p>
            <w:r>
              <w:rPr>
                <w:rFonts w:ascii="Calibri" w:hAnsi="Calibri"/>
                <w:b/>
                <w:sz w:val="20"/>
              </w:rPr>
              <w:t>Strength for SAP O2C</w:t>
            </w:r>
          </w:p>
        </w:tc>
        <w:tc>
          <w:tcPr>
            <w:tcW w:type="dxa" w:w="2160"/>
          </w:tcPr>
          <w:p>
            <w:r>
              <w:rPr>
                <w:rFonts w:ascii="Calibri" w:hAnsi="Calibri"/>
                <w:b/>
                <w:sz w:val="20"/>
              </w:rPr>
              <w:t>How to Build</w:t>
            </w:r>
          </w:p>
        </w:tc>
      </w:tr>
      <w:tr>
        <w:tc>
          <w:tcPr>
            <w:tcW w:type="dxa" w:w="2160"/>
          </w:tcPr>
          <w:p>
            <w:r>
              <w:rPr>
                <w:rFonts w:ascii="Calibri" w:hAnsi="Calibri"/>
                <w:sz w:val="20"/>
              </w:rPr>
              <w:t>Data Flywheel</w:t>
            </w:r>
          </w:p>
        </w:tc>
        <w:tc>
          <w:tcPr>
            <w:tcW w:type="dxa" w:w="2160"/>
          </w:tcPr>
          <w:p>
            <w:r>
              <w:rPr>
                <w:rFonts w:ascii="Calibri" w:hAnsi="Calibri"/>
                <w:sz w:val="20"/>
              </w:rPr>
              <w:t>Transaction data improves AI accuracy</w:t>
            </w:r>
          </w:p>
        </w:tc>
        <w:tc>
          <w:tcPr>
            <w:tcW w:type="dxa" w:w="2160"/>
          </w:tcPr>
          <w:p>
            <w:r>
              <w:rPr>
                <w:rFonts w:ascii="Calibri" w:hAnsi="Calibri"/>
                <w:sz w:val="20"/>
              </w:rPr>
              <w:t>Strong</w:t>
            </w:r>
          </w:p>
        </w:tc>
        <w:tc>
          <w:tcPr>
            <w:tcW w:type="dxa" w:w="2160"/>
          </w:tcPr>
          <w:p>
            <w:r>
              <w:rPr>
                <w:rFonts w:ascii="Calibri" w:hAnsi="Calibri"/>
                <w:sz w:val="20"/>
              </w:rPr>
              <w:t>Process volume across customers, share anonymized patterns</w:t>
            </w:r>
          </w:p>
        </w:tc>
      </w:tr>
      <w:tr>
        <w:tc>
          <w:tcPr>
            <w:tcW w:type="dxa" w:w="2160"/>
          </w:tcPr>
          <w:p>
            <w:r>
              <w:rPr>
                <w:rFonts w:ascii="Calibri" w:hAnsi="Calibri"/>
                <w:sz w:val="20"/>
              </w:rPr>
              <w:t>SAP Domain Expertise</w:t>
            </w:r>
          </w:p>
        </w:tc>
        <w:tc>
          <w:tcPr>
            <w:tcW w:type="dxa" w:w="2160"/>
          </w:tcPr>
          <w:p>
            <w:r>
              <w:rPr>
                <w:rFonts w:ascii="Calibri" w:hAnsi="Calibri"/>
                <w:sz w:val="20"/>
              </w:rPr>
              <w:t>Deep knowledge of SAP O2C configuration</w:t>
            </w:r>
          </w:p>
        </w:tc>
        <w:tc>
          <w:tcPr>
            <w:tcW w:type="dxa" w:w="2160"/>
          </w:tcPr>
          <w:p>
            <w:r>
              <w:rPr>
                <w:rFonts w:ascii="Calibri" w:hAnsi="Calibri"/>
                <w:sz w:val="20"/>
              </w:rPr>
              <w:t>Very Strong</w:t>
            </w:r>
          </w:p>
        </w:tc>
        <w:tc>
          <w:tcPr>
            <w:tcW w:type="dxa" w:w="2160"/>
          </w:tcPr>
          <w:p>
            <w:r>
              <w:rPr>
                <w:rFonts w:ascii="Calibri" w:hAnsi="Calibri"/>
                <w:sz w:val="20"/>
              </w:rPr>
              <w:t>Hire ex-SAP consultants, encode ABAP/OData expertise in agents</w:t>
            </w:r>
          </w:p>
        </w:tc>
      </w:tr>
      <w:tr>
        <w:tc>
          <w:tcPr>
            <w:tcW w:type="dxa" w:w="2160"/>
          </w:tcPr>
          <w:p>
            <w:r>
              <w:rPr>
                <w:rFonts w:ascii="Calibri" w:hAnsi="Calibri"/>
                <w:sz w:val="20"/>
              </w:rPr>
              <w:t>Integration Depth</w:t>
            </w:r>
          </w:p>
        </w:tc>
        <w:tc>
          <w:tcPr>
            <w:tcW w:type="dxa" w:w="2160"/>
          </w:tcPr>
          <w:p>
            <w:r>
              <w:rPr>
                <w:rFonts w:ascii="Calibri" w:hAnsi="Calibri"/>
                <w:sz w:val="20"/>
              </w:rPr>
              <w:t>Pre-built MCP tools for SAP OData entities</w:t>
            </w:r>
          </w:p>
        </w:tc>
        <w:tc>
          <w:tcPr>
            <w:tcW w:type="dxa" w:w="2160"/>
          </w:tcPr>
          <w:p>
            <w:r>
              <w:rPr>
                <w:rFonts w:ascii="Calibri" w:hAnsi="Calibri"/>
                <w:sz w:val="20"/>
              </w:rPr>
              <w:t>Strong</w:t>
            </w:r>
          </w:p>
        </w:tc>
        <w:tc>
          <w:tcPr>
            <w:tcW w:type="dxa" w:w="2160"/>
          </w:tcPr>
          <w:p>
            <w:r>
              <w:rPr>
                <w:rFonts w:ascii="Calibri" w:hAnsi="Calibri"/>
                <w:sz w:val="20"/>
              </w:rPr>
              <w:t>Cover all O2C entities: SD, FI-AR, MM, PP</w:t>
            </w:r>
          </w:p>
        </w:tc>
      </w:tr>
      <w:tr>
        <w:tc>
          <w:tcPr>
            <w:tcW w:type="dxa" w:w="2160"/>
          </w:tcPr>
          <w:p>
            <w:r>
              <w:rPr>
                <w:rFonts w:ascii="Calibri" w:hAnsi="Calibri"/>
                <w:sz w:val="20"/>
              </w:rPr>
              <w:t>Switching Costs</w:t>
            </w:r>
          </w:p>
        </w:tc>
        <w:tc>
          <w:tcPr>
            <w:tcW w:type="dxa" w:w="2160"/>
          </w:tcPr>
          <w:p>
            <w:r>
              <w:rPr>
                <w:rFonts w:ascii="Calibri" w:hAnsi="Calibri"/>
                <w:sz w:val="20"/>
              </w:rPr>
              <w:t>System becomes infrastructure for O2C operations</w:t>
            </w:r>
          </w:p>
        </w:tc>
        <w:tc>
          <w:tcPr>
            <w:tcW w:type="dxa" w:w="2160"/>
          </w:tcPr>
          <w:p>
            <w:r>
              <w:rPr>
                <w:rFonts w:ascii="Calibri" w:hAnsi="Calibri"/>
                <w:sz w:val="20"/>
              </w:rPr>
              <w:t>Medium-High</w:t>
            </w:r>
          </w:p>
        </w:tc>
        <w:tc>
          <w:tcPr>
            <w:tcW w:type="dxa" w:w="2160"/>
          </w:tcPr>
          <w:p>
            <w:r>
              <w:rPr>
                <w:rFonts w:ascii="Calibri" w:hAnsi="Calibri"/>
                <w:sz w:val="20"/>
              </w:rPr>
              <w:t>Own the data layer between agents and SAP</w:t>
            </w:r>
          </w:p>
        </w:tc>
      </w:tr>
      <w:tr>
        <w:tc>
          <w:tcPr>
            <w:tcW w:type="dxa" w:w="2160"/>
          </w:tcPr>
          <w:p>
            <w:r>
              <w:rPr>
                <w:rFonts w:ascii="Calibri" w:hAnsi="Calibri"/>
                <w:sz w:val="20"/>
              </w:rPr>
              <w:t>Network Effects</w:t>
            </w:r>
          </w:p>
        </w:tc>
        <w:tc>
          <w:tcPr>
            <w:tcW w:type="dxa" w:w="2160"/>
          </w:tcPr>
          <w:p>
            <w:r>
              <w:rPr>
                <w:rFonts w:ascii="Calibri" w:hAnsi="Calibri"/>
                <w:sz w:val="20"/>
              </w:rPr>
              <w:t>Cross-customer pattern learning</w:t>
            </w:r>
          </w:p>
        </w:tc>
        <w:tc>
          <w:tcPr>
            <w:tcW w:type="dxa" w:w="2160"/>
          </w:tcPr>
          <w:p>
            <w:r>
              <w:rPr>
                <w:rFonts w:ascii="Calibri" w:hAnsi="Calibri"/>
                <w:sz w:val="20"/>
              </w:rPr>
              <w:t>Medium</w:t>
            </w:r>
          </w:p>
        </w:tc>
        <w:tc>
          <w:tcPr>
            <w:tcW w:type="dxa" w:w="2160"/>
          </w:tcPr>
          <w:p>
            <w:r>
              <w:rPr>
                <w:rFonts w:ascii="Calibri" w:hAnsi="Calibri"/>
                <w:sz w:val="20"/>
              </w:rPr>
              <w:t>Industry-specific models (e.g., manufacturing vs. retail O2C)</w:t>
            </w:r>
          </w:p>
        </w:tc>
      </w:tr>
      <w:tr>
        <w:tc>
          <w:tcPr>
            <w:tcW w:type="dxa" w:w="2160"/>
          </w:tcPr>
          <w:p>
            <w:r>
              <w:rPr>
                <w:rFonts w:ascii="Calibri" w:hAnsi="Calibri"/>
                <w:sz w:val="20"/>
              </w:rPr>
              <w:t>Open-Source Community</w:t>
            </w:r>
          </w:p>
        </w:tc>
        <w:tc>
          <w:tcPr>
            <w:tcW w:type="dxa" w:w="2160"/>
          </w:tcPr>
          <w:p>
            <w:r>
              <w:rPr>
                <w:rFonts w:ascii="Calibri" w:hAnsi="Calibri"/>
                <w:sz w:val="20"/>
              </w:rPr>
              <w:t>Developer adoption creates ecosystem lock-in</w:t>
            </w:r>
          </w:p>
        </w:tc>
        <w:tc>
          <w:tcPr>
            <w:tcW w:type="dxa" w:w="2160"/>
          </w:tcPr>
          <w:p>
            <w:r>
              <w:rPr>
                <w:rFonts w:ascii="Calibri" w:hAnsi="Calibri"/>
                <w:sz w:val="20"/>
              </w:rPr>
              <w:t>Medium</w:t>
            </w:r>
          </w:p>
        </w:tc>
        <w:tc>
          <w:tcPr>
            <w:tcW w:type="dxa" w:w="2160"/>
          </w:tcPr>
          <w:p>
            <w:r>
              <w:rPr>
                <w:rFonts w:ascii="Calibri" w:hAnsi="Calibri"/>
                <w:sz w:val="20"/>
              </w:rPr>
              <w:t>Grow GitHub community, accept contributions, build plugins</w:t>
            </w:r>
          </w:p>
        </w:tc>
      </w:tr>
      <w:tr>
        <w:tc>
          <w:tcPr>
            <w:tcW w:type="dxa" w:w="2160"/>
          </w:tcPr>
          <w:p>
            <w:r>
              <w:rPr>
                <w:rFonts w:ascii="Calibri" w:hAnsi="Calibri"/>
                <w:sz w:val="20"/>
              </w:rPr>
              <w:t>Speed of Execution</w:t>
            </w:r>
          </w:p>
        </w:tc>
        <w:tc>
          <w:tcPr>
            <w:tcW w:type="dxa" w:w="2160"/>
          </w:tcPr>
          <w:p>
            <w:r>
              <w:rPr>
                <w:rFonts w:ascii="Calibri" w:hAnsi="Calibri"/>
                <w:sz w:val="20"/>
              </w:rPr>
              <w:t>First-mover in MCP-native SAP O2C automation</w:t>
            </w:r>
          </w:p>
        </w:tc>
        <w:tc>
          <w:tcPr>
            <w:tcW w:type="dxa" w:w="2160"/>
          </w:tcPr>
          <w:p>
            <w:r>
              <w:rPr>
                <w:rFonts w:ascii="Calibri" w:hAnsi="Calibri"/>
                <w:sz w:val="20"/>
              </w:rPr>
              <w:t>Strong</w:t>
            </w:r>
          </w:p>
        </w:tc>
        <w:tc>
          <w:tcPr>
            <w:tcW w:type="dxa" w:w="2160"/>
          </w:tcPr>
          <w:p>
            <w:r>
              <w:rPr>
                <w:rFonts w:ascii="Calibri" w:hAnsi="Calibri"/>
                <w:sz w:val="20"/>
              </w:rPr>
              <w:t>Ship faster than SAP Joule can cover edge cases</w:t>
            </w:r>
          </w:p>
        </w:tc>
      </w:tr>
    </w:tbl>
    <w:p/>
    <w:p>
      <w:pPr>
        <w:pStyle w:val="Heading2"/>
      </w:pPr>
      <w:r>
        <w:t>Moat vs. Incumbent Threat Analysis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Incumbent</w:t>
            </w:r>
          </w:p>
        </w:tc>
        <w:tc>
          <w:tcPr>
            <w:tcW w:type="dxa" w:w="2160"/>
          </w:tcPr>
          <w:p>
            <w:r>
              <w:rPr>
                <w:rFonts w:ascii="Calibri" w:hAnsi="Calibri"/>
                <w:b/>
                <w:sz w:val="20"/>
              </w:rPr>
              <w:t>Threat Level</w:t>
            </w:r>
          </w:p>
        </w:tc>
        <w:tc>
          <w:tcPr>
            <w:tcW w:type="dxa" w:w="2160"/>
          </w:tcPr>
          <w:p>
            <w:r>
              <w:rPr>
                <w:rFonts w:ascii="Calibri" w:hAnsi="Calibri"/>
                <w:b/>
                <w:sz w:val="20"/>
              </w:rPr>
              <w:t>Their Advantage</w:t>
            </w:r>
          </w:p>
        </w:tc>
        <w:tc>
          <w:tcPr>
            <w:tcW w:type="dxa" w:w="2160"/>
          </w:tcPr>
          <w:p>
            <w:r>
              <w:rPr>
                <w:rFonts w:ascii="Calibri" w:hAnsi="Calibri"/>
                <w:b/>
                <w:sz w:val="20"/>
              </w:rPr>
              <w:t>Your Counter-Moat</w:t>
            </w:r>
          </w:p>
        </w:tc>
      </w:tr>
      <w:tr>
        <w:tc>
          <w:tcPr>
            <w:tcW w:type="dxa" w:w="2160"/>
          </w:tcPr>
          <w:p>
            <w:r>
              <w:rPr>
                <w:rFonts w:ascii="Calibri" w:hAnsi="Calibri"/>
                <w:sz w:val="20"/>
              </w:rPr>
              <w:t>SAP (Joule)</w:t>
            </w:r>
          </w:p>
        </w:tc>
        <w:tc>
          <w:tcPr>
            <w:tcW w:type="dxa" w:w="2160"/>
          </w:tcPr>
          <w:p>
            <w:r>
              <w:rPr>
                <w:rFonts w:ascii="Calibri" w:hAnsi="Calibri"/>
                <w:sz w:val="20"/>
              </w:rPr>
              <w:t>High</w:t>
            </w:r>
          </w:p>
        </w:tc>
        <w:tc>
          <w:tcPr>
            <w:tcW w:type="dxa" w:w="2160"/>
          </w:tcPr>
          <w:p>
            <w:r>
              <w:rPr>
                <w:rFonts w:ascii="Calibri" w:hAnsi="Calibri"/>
                <w:sz w:val="20"/>
              </w:rPr>
              <w:t>Native integration, 2,500+ skills</w:t>
            </w:r>
          </w:p>
        </w:tc>
        <w:tc>
          <w:tcPr>
            <w:tcW w:type="dxa" w:w="2160"/>
          </w:tcPr>
          <w:p>
            <w:r>
              <w:rPr>
                <w:rFonts w:ascii="Calibri" w:hAnsi="Calibri"/>
                <w:sz w:val="20"/>
              </w:rPr>
              <w:t>Faster iteration, open-source, multi-LLM support</w:t>
            </w:r>
          </w:p>
        </w:tc>
      </w:tr>
      <w:tr>
        <w:tc>
          <w:tcPr>
            <w:tcW w:type="dxa" w:w="2160"/>
          </w:tcPr>
          <w:p>
            <w:r>
              <w:rPr>
                <w:rFonts w:ascii="Calibri" w:hAnsi="Calibri"/>
                <w:sz w:val="20"/>
              </w:rPr>
              <w:t>HighRadius</w:t>
            </w:r>
          </w:p>
        </w:tc>
        <w:tc>
          <w:tcPr>
            <w:tcW w:type="dxa" w:w="2160"/>
          </w:tcPr>
          <w:p>
            <w:r>
              <w:rPr>
                <w:rFonts w:ascii="Calibri" w:hAnsi="Calibri"/>
                <w:sz w:val="20"/>
              </w:rPr>
              <w:t>High</w:t>
            </w:r>
          </w:p>
        </w:tc>
        <w:tc>
          <w:tcPr>
            <w:tcW w:type="dxa" w:w="2160"/>
          </w:tcPr>
          <w:p>
            <w:r>
              <w:rPr>
                <w:rFonts w:ascii="Calibri" w:hAnsi="Calibri"/>
                <w:sz w:val="20"/>
              </w:rPr>
              <w:t>$3.1B, 1,100+ customers, deep AR</w:t>
            </w:r>
          </w:p>
        </w:tc>
        <w:tc>
          <w:tcPr>
            <w:tcW w:type="dxa" w:w="2160"/>
          </w:tcPr>
          <w:p>
            <w:r>
              <w:rPr>
                <w:rFonts w:ascii="Calibri" w:hAnsi="Calibri"/>
                <w:sz w:val="20"/>
              </w:rPr>
              <w:t>Full O2C scope (not just AR), lower cost, modern architecture</w:t>
            </w:r>
          </w:p>
        </w:tc>
      </w:tr>
      <w:tr>
        <w:tc>
          <w:tcPr>
            <w:tcW w:type="dxa" w:w="2160"/>
          </w:tcPr>
          <w:p>
            <w:r>
              <w:rPr>
                <w:rFonts w:ascii="Calibri" w:hAnsi="Calibri"/>
                <w:sz w:val="20"/>
              </w:rPr>
              <w:t>Celonis</w:t>
            </w:r>
          </w:p>
        </w:tc>
        <w:tc>
          <w:tcPr>
            <w:tcW w:type="dxa" w:w="2160"/>
          </w:tcPr>
          <w:p>
            <w:r>
              <w:rPr>
                <w:rFonts w:ascii="Calibri" w:hAnsi="Calibri"/>
                <w:sz w:val="20"/>
              </w:rPr>
              <w:t>Medium</w:t>
            </w:r>
          </w:p>
        </w:tc>
        <w:tc>
          <w:tcPr>
            <w:tcW w:type="dxa" w:w="2160"/>
          </w:tcPr>
          <w:p>
            <w:r>
              <w:rPr>
                <w:rFonts w:ascii="Calibri" w:hAnsi="Calibri"/>
                <w:sz w:val="20"/>
              </w:rPr>
              <w:t>Process mining + action flows</w:t>
            </w:r>
          </w:p>
        </w:tc>
        <w:tc>
          <w:tcPr>
            <w:tcW w:type="dxa" w:w="2160"/>
          </w:tcPr>
          <w:p>
            <w:r>
              <w:rPr>
                <w:rFonts w:ascii="Calibri" w:hAnsi="Calibri"/>
                <w:sz w:val="20"/>
              </w:rPr>
              <w:t>Purpose-built agents vs. generic process orchestration</w:t>
            </w:r>
          </w:p>
        </w:tc>
      </w:tr>
      <w:tr>
        <w:tc>
          <w:tcPr>
            <w:tcW w:type="dxa" w:w="2160"/>
          </w:tcPr>
          <w:p>
            <w:r>
              <w:rPr>
                <w:rFonts w:ascii="Calibri" w:hAnsi="Calibri"/>
                <w:sz w:val="20"/>
              </w:rPr>
              <w:t>UiPath</w:t>
            </w:r>
          </w:p>
        </w:tc>
        <w:tc>
          <w:tcPr>
            <w:tcW w:type="dxa" w:w="2160"/>
          </w:tcPr>
          <w:p>
            <w:r>
              <w:rPr>
                <w:rFonts w:ascii="Calibri" w:hAnsi="Calibri"/>
                <w:sz w:val="20"/>
              </w:rPr>
              <w:t>Medium</w:t>
            </w:r>
          </w:p>
        </w:tc>
        <w:tc>
          <w:tcPr>
            <w:tcW w:type="dxa" w:w="2160"/>
          </w:tcPr>
          <w:p>
            <w:r>
              <w:rPr>
                <w:rFonts w:ascii="Calibri" w:hAnsi="Calibri"/>
                <w:sz w:val="20"/>
              </w:rPr>
              <w:t>$1.6B revenue, cross-platform RPA</w:t>
            </w:r>
          </w:p>
        </w:tc>
        <w:tc>
          <w:tcPr>
            <w:tcW w:type="dxa" w:w="2160"/>
          </w:tcPr>
          <w:p>
            <w:r>
              <w:rPr>
                <w:rFonts w:ascii="Calibri" w:hAnsi="Calibri"/>
                <w:sz w:val="20"/>
              </w:rPr>
              <w:t>AI-native vs. RPA-with-AI-bolted-on approach</w:t>
            </w:r>
          </w:p>
        </w:tc>
      </w:tr>
      <w:tr>
        <w:tc>
          <w:tcPr>
            <w:tcW w:type="dxa" w:w="2160"/>
          </w:tcPr>
          <w:p>
            <w:r>
              <w:rPr>
                <w:rFonts w:ascii="Calibri" w:hAnsi="Calibri"/>
                <w:sz w:val="20"/>
              </w:rPr>
              <w:t>Automation Anywhere</w:t>
            </w:r>
          </w:p>
        </w:tc>
        <w:tc>
          <w:tcPr>
            <w:tcW w:type="dxa" w:w="2160"/>
          </w:tcPr>
          <w:p>
            <w:r>
              <w:rPr>
                <w:rFonts w:ascii="Calibri" w:hAnsi="Calibri"/>
                <w:sz w:val="20"/>
              </w:rPr>
              <w:t>Medium</w:t>
            </w:r>
          </w:p>
        </w:tc>
        <w:tc>
          <w:tcPr>
            <w:tcW w:type="dxa" w:w="2160"/>
          </w:tcPr>
          <w:p>
            <w:r>
              <w:rPr>
                <w:rFonts w:ascii="Calibri" w:hAnsi="Calibri"/>
                <w:sz w:val="20"/>
              </w:rPr>
              <w:t>Agentic Process Automation brand</w:t>
            </w:r>
          </w:p>
        </w:tc>
        <w:tc>
          <w:tcPr>
            <w:tcW w:type="dxa" w:w="2160"/>
          </w:tcPr>
          <w:p>
            <w:r>
              <w:rPr>
                <w:rFonts w:ascii="Calibri" w:hAnsi="Calibri"/>
                <w:sz w:val="20"/>
              </w:rPr>
              <w:t>SAP-specific depth vs. horizontal automation</w:t>
            </w:r>
          </w:p>
        </w:tc>
      </w:tr>
      <w:tr>
        <w:tc>
          <w:tcPr>
            <w:tcW w:type="dxa" w:w="2160"/>
          </w:tcPr>
          <w:p>
            <w:r>
              <w:rPr>
                <w:rFonts w:ascii="Calibri" w:hAnsi="Calibri"/>
                <w:sz w:val="20"/>
              </w:rPr>
              <w:t>Tessera Labs</w:t>
            </w:r>
          </w:p>
        </w:tc>
        <w:tc>
          <w:tcPr>
            <w:tcW w:type="dxa" w:w="2160"/>
          </w:tcPr>
          <w:p>
            <w:r>
              <w:rPr>
                <w:rFonts w:ascii="Calibri" w:hAnsi="Calibri"/>
                <w:sz w:val="20"/>
              </w:rPr>
              <w:t>High</w:t>
            </w:r>
          </w:p>
        </w:tc>
        <w:tc>
          <w:tcPr>
            <w:tcW w:type="dxa" w:w="2160"/>
          </w:tcPr>
          <w:p>
            <w:r>
              <w:rPr>
                <w:rFonts w:ascii="Calibri" w:hAnsi="Calibri"/>
                <w:sz w:val="20"/>
              </w:rPr>
              <w:t>$60M a16z backing, migration focus</w:t>
            </w:r>
          </w:p>
        </w:tc>
        <w:tc>
          <w:tcPr>
            <w:tcW w:type="dxa" w:w="2160"/>
          </w:tcPr>
          <w:p>
            <w:r>
              <w:rPr>
                <w:rFonts w:ascii="Calibri" w:hAnsi="Calibri"/>
                <w:sz w:val="20"/>
              </w:rPr>
              <w:t>Day-2 operations vs. Day-1 migration; complementary positioning</w:t>
            </w:r>
          </w:p>
        </w:tc>
      </w:tr>
    </w:tbl>
    <w:p/>
    <w:p>
      <w:r>
        <w:br w:type="page"/>
      </w:r>
    </w:p>
    <w:p>
      <w:pPr>
        <w:pStyle w:val="Heading1"/>
      </w:pPr>
      <w:r>
        <w:t>9. Risk Analysis &amp; Failure Modes</w:t>
      </w:r>
    </w:p>
    <w:p>
      <w:pPr>
        <w:pStyle w:val="Heading2"/>
      </w:pPr>
      <w:r>
        <w:t>Mirage PMF Risk</w:t>
      </w:r>
    </w:p>
    <w:p>
      <w:pPr>
        <w:ind w:left="850" w:right="567"/>
      </w:pPr>
      <w:r>
        <w:rPr>
          <w:rFonts w:ascii="Calibri" w:hAnsi="Calibri"/>
          <w:i/>
          <w:color w:val="555555"/>
          <w:sz w:val="22"/>
        </w:rPr>
        <w:t>"Revenue growth powered by human labor rather than AI leverage is the most dangerous illusion in AI-native services. Companies experiencing flat gross margins despite revenue growth, stagnant revenue-per-employee, or linear headcount scaling are trapped in Mirage PMF."</w:t>
      </w:r>
    </w:p>
    <w:p>
      <w:r>
        <w:t>Applied to SAP O2C automation, the Mirage PMF risk manifests in several ways: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Risk Factor</w:t>
            </w:r>
          </w:p>
        </w:tc>
        <w:tc>
          <w:tcPr>
            <w:tcW w:type="dxa" w:w="2880"/>
          </w:tcPr>
          <w:p>
            <w:r>
              <w:rPr>
                <w:rFonts w:ascii="Calibri" w:hAnsi="Calibri"/>
                <w:b/>
                <w:sz w:val="20"/>
              </w:rPr>
              <w:t>Warning Sign</w:t>
            </w:r>
          </w:p>
        </w:tc>
        <w:tc>
          <w:tcPr>
            <w:tcW w:type="dxa" w:w="2880"/>
          </w:tcPr>
          <w:p>
            <w:r>
              <w:rPr>
                <w:rFonts w:ascii="Calibri" w:hAnsi="Calibri"/>
                <w:b/>
                <w:sz w:val="20"/>
              </w:rPr>
              <w:t>Mitigation</w:t>
            </w:r>
          </w:p>
        </w:tc>
      </w:tr>
      <w:tr>
        <w:tc>
          <w:tcPr>
            <w:tcW w:type="dxa" w:w="2880"/>
          </w:tcPr>
          <w:p>
            <w:r>
              <w:rPr>
                <w:rFonts w:ascii="Calibri" w:hAnsi="Calibri"/>
                <w:sz w:val="20"/>
              </w:rPr>
              <w:t>Consulting Disguised as Product</w:t>
            </w:r>
          </w:p>
        </w:tc>
        <w:tc>
          <w:tcPr>
            <w:tcW w:type="dxa" w:w="2880"/>
          </w:tcPr>
          <w:p>
            <w:r>
              <w:rPr>
                <w:rFonts w:ascii="Calibri" w:hAnsi="Calibri"/>
                <w:sz w:val="20"/>
              </w:rPr>
              <w:t>Each customer requires &gt;40 hrs of custom SAP configuration</w:t>
            </w:r>
          </w:p>
        </w:tc>
        <w:tc>
          <w:tcPr>
            <w:tcW w:type="dxa" w:w="2880"/>
          </w:tcPr>
          <w:p>
            <w:r>
              <w:rPr>
                <w:rFonts w:ascii="Calibri" w:hAnsi="Calibri"/>
                <w:sz w:val="20"/>
              </w:rPr>
              <w:t>Invest in self-service onboarding, templated SAP configurations</w:t>
            </w:r>
          </w:p>
        </w:tc>
      </w:tr>
      <w:tr>
        <w:tc>
          <w:tcPr>
            <w:tcW w:type="dxa" w:w="2880"/>
          </w:tcPr>
          <w:p>
            <w:r>
              <w:rPr>
                <w:rFonts w:ascii="Calibri" w:hAnsi="Calibri"/>
                <w:sz w:val="20"/>
              </w:rPr>
              <w:t>Human-in-the-Loop Dependency</w:t>
            </w:r>
          </w:p>
        </w:tc>
        <w:tc>
          <w:tcPr>
            <w:tcW w:type="dxa" w:w="2880"/>
          </w:tcPr>
          <w:p>
            <w:r>
              <w:rPr>
                <w:rFonts w:ascii="Calibri" w:hAnsi="Calibri"/>
                <w:sz w:val="20"/>
              </w:rPr>
              <w:t>Agents require manual review for &gt;30% of transactions</w:t>
            </w:r>
          </w:p>
        </w:tc>
        <w:tc>
          <w:tcPr>
            <w:tcW w:type="dxa" w:w="2880"/>
          </w:tcPr>
          <w:p>
            <w:r>
              <w:rPr>
                <w:rFonts w:ascii="Calibri" w:hAnsi="Calibri"/>
                <w:sz w:val="20"/>
              </w:rPr>
              <w:t>Track HURT metric weekly; invest in edge case training data</w:t>
            </w:r>
          </w:p>
        </w:tc>
      </w:tr>
      <w:tr>
        <w:tc>
          <w:tcPr>
            <w:tcW w:type="dxa" w:w="2880"/>
          </w:tcPr>
          <w:p>
            <w:r>
              <w:rPr>
                <w:rFonts w:ascii="Calibri" w:hAnsi="Calibri"/>
                <w:sz w:val="20"/>
              </w:rPr>
              <w:t>LLM Cost Escalation</w:t>
            </w:r>
          </w:p>
        </w:tc>
        <w:tc>
          <w:tcPr>
            <w:tcW w:type="dxa" w:w="2880"/>
          </w:tcPr>
          <w:p>
            <w:r>
              <w:rPr>
                <w:rFonts w:ascii="Calibri" w:hAnsi="Calibri"/>
                <w:sz w:val="20"/>
              </w:rPr>
              <w:t>COGS grows linearly with transaction volume</w:t>
            </w:r>
          </w:p>
        </w:tc>
        <w:tc>
          <w:tcPr>
            <w:tcW w:type="dxa" w:w="2880"/>
          </w:tcPr>
          <w:p>
            <w:r>
              <w:rPr>
                <w:rFonts w:ascii="Calibri" w:hAnsi="Calibri"/>
                <w:sz w:val="20"/>
              </w:rPr>
              <w:t>Negotiate volume discounts, fine-tune smaller models for routine tasks</w:t>
            </w:r>
          </w:p>
        </w:tc>
      </w:tr>
      <w:tr>
        <w:tc>
          <w:tcPr>
            <w:tcW w:type="dxa" w:w="2880"/>
          </w:tcPr>
          <w:p>
            <w:r>
              <w:rPr>
                <w:rFonts w:ascii="Calibri" w:hAnsi="Calibri"/>
                <w:sz w:val="20"/>
              </w:rPr>
              <w:t>SAP Configuration Complexity</w:t>
            </w:r>
          </w:p>
        </w:tc>
        <w:tc>
          <w:tcPr>
            <w:tcW w:type="dxa" w:w="2880"/>
          </w:tcPr>
          <w:p>
            <w:r>
              <w:rPr>
                <w:rFonts w:ascii="Calibri" w:hAnsi="Calibri"/>
                <w:sz w:val="20"/>
              </w:rPr>
              <w:t>Every customer has unique SD/FI customizations</w:t>
            </w:r>
          </w:p>
        </w:tc>
        <w:tc>
          <w:tcPr>
            <w:tcW w:type="dxa" w:w="2880"/>
          </w:tcPr>
          <w:p>
            <w:r>
              <w:rPr>
                <w:rFonts w:ascii="Calibri" w:hAnsi="Calibri"/>
                <w:sz w:val="20"/>
              </w:rPr>
              <w:t>Build configuration discovery agents that auto-map SAP setups</w:t>
            </w:r>
          </w:p>
        </w:tc>
      </w:tr>
      <w:tr>
        <w:tc>
          <w:tcPr>
            <w:tcW w:type="dxa" w:w="2880"/>
          </w:tcPr>
          <w:p>
            <w:r>
              <w:rPr>
                <w:rFonts w:ascii="Calibri" w:hAnsi="Calibri"/>
                <w:sz w:val="20"/>
              </w:rPr>
              <w:t>Accuracy Plateau</w:t>
            </w:r>
          </w:p>
        </w:tc>
        <w:tc>
          <w:tcPr>
            <w:tcW w:type="dxa" w:w="2880"/>
          </w:tcPr>
          <w:p>
            <w:r>
              <w:rPr>
                <w:rFonts w:ascii="Calibri" w:hAnsi="Calibri"/>
                <w:sz w:val="20"/>
              </w:rPr>
              <w:t>Match rates stall at 80-85% despite more data</w:t>
            </w:r>
          </w:p>
        </w:tc>
        <w:tc>
          <w:tcPr>
            <w:tcW w:type="dxa" w:w="2880"/>
          </w:tcPr>
          <w:p>
            <w:r>
              <w:rPr>
                <w:rFonts w:ascii="Calibri" w:hAnsi="Calibri"/>
                <w:sz w:val="20"/>
              </w:rPr>
              <w:t>Invest in domain-specific model fine-tuning, not just prompt engineering</w:t>
            </w:r>
          </w:p>
        </w:tc>
      </w:tr>
    </w:tbl>
    <w:p/>
    <w:p>
      <w:pPr>
        <w:pStyle w:val="Heading2"/>
      </w:pPr>
      <w:r>
        <w:t>Failure Mode Analysis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Failure Mode</w:t>
            </w:r>
          </w:p>
        </w:tc>
        <w:tc>
          <w:tcPr>
            <w:tcW w:type="dxa" w:w="1728"/>
          </w:tcPr>
          <w:p>
            <w:r>
              <w:rPr>
                <w:rFonts w:ascii="Calibri" w:hAnsi="Calibri"/>
                <w:b/>
                <w:sz w:val="20"/>
              </w:rPr>
              <w:t>Probability</w:t>
            </w:r>
          </w:p>
        </w:tc>
        <w:tc>
          <w:tcPr>
            <w:tcW w:type="dxa" w:w="1728"/>
          </w:tcPr>
          <w:p>
            <w:r>
              <w:rPr>
                <w:rFonts w:ascii="Calibri" w:hAnsi="Calibri"/>
                <w:b/>
                <w:sz w:val="20"/>
              </w:rPr>
              <w:t>Impact</w:t>
            </w:r>
          </w:p>
        </w:tc>
        <w:tc>
          <w:tcPr>
            <w:tcW w:type="dxa" w:w="1728"/>
          </w:tcPr>
          <w:p>
            <w:r>
              <w:rPr>
                <w:rFonts w:ascii="Calibri" w:hAnsi="Calibri"/>
                <w:b/>
                <w:sz w:val="20"/>
              </w:rPr>
              <w:t>Historical Example</w:t>
            </w:r>
          </w:p>
        </w:tc>
        <w:tc>
          <w:tcPr>
            <w:tcW w:type="dxa" w:w="1728"/>
          </w:tcPr>
          <w:p>
            <w:r>
              <w:rPr>
                <w:rFonts w:ascii="Calibri" w:hAnsi="Calibri"/>
                <w:b/>
                <w:sz w:val="20"/>
              </w:rPr>
              <w:t>Prevention</w:t>
            </w:r>
          </w:p>
        </w:tc>
      </w:tr>
      <w:tr>
        <w:tc>
          <w:tcPr>
            <w:tcW w:type="dxa" w:w="1728"/>
          </w:tcPr>
          <w:p>
            <w:r>
              <w:rPr>
                <w:rFonts w:ascii="Calibri" w:hAnsi="Calibri"/>
                <w:sz w:val="20"/>
              </w:rPr>
              <w:t>SAP kills the ecosystem</w:t>
            </w:r>
          </w:p>
        </w:tc>
        <w:tc>
          <w:tcPr>
            <w:tcW w:type="dxa" w:w="1728"/>
          </w:tcPr>
          <w:p>
            <w:r>
              <w:rPr>
                <w:rFonts w:ascii="Calibri" w:hAnsi="Calibri"/>
                <w:sz w:val="20"/>
              </w:rPr>
              <w:t>Medium</w:t>
            </w:r>
          </w:p>
        </w:tc>
        <w:tc>
          <w:tcPr>
            <w:tcW w:type="dxa" w:w="1728"/>
          </w:tcPr>
          <w:p>
            <w:r>
              <w:rPr>
                <w:rFonts w:ascii="Calibri" w:hAnsi="Calibri"/>
                <w:sz w:val="20"/>
              </w:rPr>
              <w:t>Critical</w:t>
            </w:r>
          </w:p>
        </w:tc>
        <w:tc>
          <w:tcPr>
            <w:tcW w:type="dxa" w:w="1728"/>
          </w:tcPr>
          <w:p>
            <w:r>
              <w:rPr>
                <w:rFonts w:ascii="Calibri" w:hAnsi="Calibri"/>
                <w:sz w:val="20"/>
              </w:rPr>
              <w:t>SAP acquiring Signavio, building Joule agents</w:t>
            </w:r>
          </w:p>
        </w:tc>
        <w:tc>
          <w:tcPr>
            <w:tcW w:type="dxa" w:w="1728"/>
          </w:tcPr>
          <w:p>
            <w:r>
              <w:rPr>
                <w:rFonts w:ascii="Calibri" w:hAnsi="Calibri"/>
                <w:sz w:val="20"/>
              </w:rPr>
              <w:t>Position as complementary, not competitive; pursue SAP partnership</w:t>
            </w:r>
          </w:p>
        </w:tc>
      </w:tr>
      <w:tr>
        <w:tc>
          <w:tcPr>
            <w:tcW w:type="dxa" w:w="1728"/>
          </w:tcPr>
          <w:p>
            <w:r>
              <w:rPr>
                <w:rFonts w:ascii="Calibri" w:hAnsi="Calibri"/>
                <w:sz w:val="20"/>
              </w:rPr>
              <w:t>Accuracy below enterprise threshold</w:t>
            </w:r>
          </w:p>
        </w:tc>
        <w:tc>
          <w:tcPr>
            <w:tcW w:type="dxa" w:w="1728"/>
          </w:tcPr>
          <w:p>
            <w:r>
              <w:rPr>
                <w:rFonts w:ascii="Calibri" w:hAnsi="Calibri"/>
                <w:sz w:val="20"/>
              </w:rPr>
              <w:t>Medium</w:t>
            </w:r>
          </w:p>
        </w:tc>
        <w:tc>
          <w:tcPr>
            <w:tcW w:type="dxa" w:w="1728"/>
          </w:tcPr>
          <w:p>
            <w:r>
              <w:rPr>
                <w:rFonts w:ascii="Calibri" w:hAnsi="Calibri"/>
                <w:sz w:val="20"/>
              </w:rPr>
              <w:t>High</w:t>
            </w:r>
          </w:p>
        </w:tc>
        <w:tc>
          <w:tcPr>
            <w:tcW w:type="dxa" w:w="1728"/>
          </w:tcPr>
          <w:p>
            <w:r>
              <w:rPr>
                <w:rFonts w:ascii="Calibri" w:hAnsi="Calibri"/>
                <w:sz w:val="20"/>
              </w:rPr>
              <w:t>Early RPA bots creating more work than they saved</w:t>
            </w:r>
          </w:p>
        </w:tc>
        <w:tc>
          <w:tcPr>
            <w:tcW w:type="dxa" w:w="1728"/>
          </w:tcPr>
          <w:p>
            <w:r>
              <w:rPr>
                <w:rFonts w:ascii="Calibri" w:hAnsi="Calibri"/>
                <w:sz w:val="20"/>
              </w:rPr>
              <w:t>Set 95%+ accuracy gates before production deployment</w:t>
            </w:r>
          </w:p>
        </w:tc>
      </w:tr>
      <w:tr>
        <w:tc>
          <w:tcPr>
            <w:tcW w:type="dxa" w:w="1728"/>
          </w:tcPr>
          <w:p>
            <w:r>
              <w:rPr>
                <w:rFonts w:ascii="Calibri" w:hAnsi="Calibri"/>
                <w:sz w:val="20"/>
              </w:rPr>
              <w:t>Enterprise sales cycle death</w:t>
            </w:r>
          </w:p>
        </w:tc>
        <w:tc>
          <w:tcPr>
            <w:tcW w:type="dxa" w:w="1728"/>
          </w:tcPr>
          <w:p>
            <w:r>
              <w:rPr>
                <w:rFonts w:ascii="Calibri" w:hAnsi="Calibri"/>
                <w:sz w:val="20"/>
              </w:rPr>
              <w:t>Medium</w:t>
            </w:r>
          </w:p>
        </w:tc>
        <w:tc>
          <w:tcPr>
            <w:tcW w:type="dxa" w:w="1728"/>
          </w:tcPr>
          <w:p>
            <w:r>
              <w:rPr>
                <w:rFonts w:ascii="Calibri" w:hAnsi="Calibri"/>
                <w:sz w:val="20"/>
              </w:rPr>
              <w:t>High</w:t>
            </w:r>
          </w:p>
        </w:tc>
        <w:tc>
          <w:tcPr>
            <w:tcW w:type="dxa" w:w="1728"/>
          </w:tcPr>
          <w:p>
            <w:r>
              <w:rPr>
                <w:rFonts w:ascii="Calibri" w:hAnsi="Calibri"/>
                <w:sz w:val="20"/>
              </w:rPr>
              <w:t>SaaS companies with 18+ month sales cycles burning cash</w:t>
            </w:r>
          </w:p>
        </w:tc>
        <w:tc>
          <w:tcPr>
            <w:tcW w:type="dxa" w:w="1728"/>
          </w:tcPr>
          <w:p>
            <w:r>
              <w:rPr>
                <w:rFonts w:ascii="Calibri" w:hAnsi="Calibri"/>
                <w:sz w:val="20"/>
              </w:rPr>
              <w:t>Start with mid-market; use open-source as developer-led wedge</w:t>
            </w:r>
          </w:p>
        </w:tc>
      </w:tr>
      <w:tr>
        <w:tc>
          <w:tcPr>
            <w:tcW w:type="dxa" w:w="1728"/>
          </w:tcPr>
          <w:p>
            <w:r>
              <w:rPr>
                <w:rFonts w:ascii="Calibri" w:hAnsi="Calibri"/>
                <w:sz w:val="20"/>
              </w:rPr>
              <w:t>Data governance rejection</w:t>
            </w:r>
          </w:p>
        </w:tc>
        <w:tc>
          <w:tcPr>
            <w:tcW w:type="dxa" w:w="1728"/>
          </w:tcPr>
          <w:p>
            <w:r>
              <w:rPr>
                <w:rFonts w:ascii="Calibri" w:hAnsi="Calibri"/>
                <w:sz w:val="20"/>
              </w:rPr>
              <w:t>Medium</w:t>
            </w:r>
          </w:p>
        </w:tc>
        <w:tc>
          <w:tcPr>
            <w:tcW w:type="dxa" w:w="1728"/>
          </w:tcPr>
          <w:p>
            <w:r>
              <w:rPr>
                <w:rFonts w:ascii="Calibri" w:hAnsi="Calibri"/>
                <w:sz w:val="20"/>
              </w:rPr>
              <w:t>High</w:t>
            </w:r>
          </w:p>
        </w:tc>
        <w:tc>
          <w:tcPr>
            <w:tcW w:type="dxa" w:w="1728"/>
          </w:tcPr>
          <w:p>
            <w:r>
              <w:rPr>
                <w:rFonts w:ascii="Calibri" w:hAnsi="Calibri"/>
                <w:sz w:val="20"/>
              </w:rPr>
              <w:t>AI tools rejected by compliance teams for data handling</w:t>
            </w:r>
          </w:p>
        </w:tc>
        <w:tc>
          <w:tcPr>
            <w:tcW w:type="dxa" w:w="1728"/>
          </w:tcPr>
          <w:p>
            <w:r>
              <w:rPr>
                <w:rFonts w:ascii="Calibri" w:hAnsi="Calibri"/>
                <w:sz w:val="20"/>
              </w:rPr>
              <w:t>SOC 2 Type II from Day 1; BTP-native for data residency</w:t>
            </w:r>
          </w:p>
        </w:tc>
      </w:tr>
      <w:tr>
        <w:tc>
          <w:tcPr>
            <w:tcW w:type="dxa" w:w="1728"/>
          </w:tcPr>
          <w:p>
            <w:r>
              <w:rPr>
                <w:rFonts w:ascii="Calibri" w:hAnsi="Calibri"/>
                <w:sz w:val="20"/>
              </w:rPr>
              <w:t>Model dependency risk</w:t>
            </w:r>
          </w:p>
        </w:tc>
        <w:tc>
          <w:tcPr>
            <w:tcW w:type="dxa" w:w="1728"/>
          </w:tcPr>
          <w:p>
            <w:r>
              <w:rPr>
                <w:rFonts w:ascii="Calibri" w:hAnsi="Calibri"/>
                <w:sz w:val="20"/>
              </w:rPr>
              <w:t>Low</w:t>
            </w:r>
          </w:p>
        </w:tc>
        <w:tc>
          <w:tcPr>
            <w:tcW w:type="dxa" w:w="1728"/>
          </w:tcPr>
          <w:p>
            <w:r>
              <w:rPr>
                <w:rFonts w:ascii="Calibri" w:hAnsi="Calibri"/>
                <w:sz w:val="20"/>
              </w:rPr>
              <w:t>Medium</w:t>
            </w:r>
          </w:p>
        </w:tc>
        <w:tc>
          <w:tcPr>
            <w:tcW w:type="dxa" w:w="1728"/>
          </w:tcPr>
          <w:p>
            <w:r>
              <w:rPr>
                <w:rFonts w:ascii="Calibri" w:hAnsi="Calibri"/>
                <w:sz w:val="20"/>
              </w:rPr>
              <w:t>Companies locked into single LLM provider pricing changes</w:t>
            </w:r>
          </w:p>
        </w:tc>
        <w:tc>
          <w:tcPr>
            <w:tcW w:type="dxa" w:w="1728"/>
          </w:tcPr>
          <w:p>
            <w:r>
              <w:rPr>
                <w:rFonts w:ascii="Calibri" w:hAnsi="Calibri"/>
                <w:sz w:val="20"/>
              </w:rPr>
              <w:t>Multi-LLM architecture (Gemini + Claude + GPT fallback)</w:t>
            </w:r>
          </w:p>
        </w:tc>
      </w:tr>
    </w:tbl>
    <w:p/>
    <w:p>
      <w:pPr>
        <w:pStyle w:val="Heading2"/>
      </w:pPr>
      <w:r>
        <w:t>The "SaaSpocalypse" Warning</w:t>
      </w:r>
    </w:p>
    <w:p>
      <w:r>
        <w:t>In February 2026, the software industry experienced a $285B market rout triggered by Anthropic's enterprise plugins release. ServiceNow dropped 7%, Salesforce fell 7%, and Thomson Reuters collapsed 15.83%. The key insight: deterministic systems of record (like SAP ERP) are more defensible than probabilistic workflow layers. An AI O2C automation solution must position as enhancing the deterministic SAP core, not replacing it.</w:t>
      </w:r>
    </w:p>
    <w:p>
      <w:r>
        <w:br w:type="page"/>
      </w:r>
    </w:p>
    <w:p>
      <w:pPr>
        <w:pStyle w:val="Heading1"/>
      </w:pPr>
      <w:r>
        <w:t>10. Strategic Framework &amp; Decision Matrix</w:t>
      </w:r>
    </w:p>
    <w:p>
      <w:pPr>
        <w:pStyle w:val="Heading2"/>
      </w:pPr>
      <w:r>
        <w:t>Build vs. Buy vs. Partner Decision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Approach</w:t>
            </w:r>
          </w:p>
        </w:tc>
        <w:tc>
          <w:tcPr>
            <w:tcW w:type="dxa" w:w="1728"/>
          </w:tcPr>
          <w:p>
            <w:r>
              <w:rPr>
                <w:rFonts w:ascii="Calibri" w:hAnsi="Calibri"/>
                <w:b/>
                <w:sz w:val="20"/>
              </w:rPr>
              <w:t>When to Choose</w:t>
            </w:r>
          </w:p>
        </w:tc>
        <w:tc>
          <w:tcPr>
            <w:tcW w:type="dxa" w:w="1728"/>
          </w:tcPr>
          <w:p>
            <w:r>
              <w:rPr>
                <w:rFonts w:ascii="Calibri" w:hAnsi="Calibri"/>
                <w:b/>
                <w:sz w:val="20"/>
              </w:rPr>
              <w:t>Investment</w:t>
            </w:r>
          </w:p>
        </w:tc>
        <w:tc>
          <w:tcPr>
            <w:tcW w:type="dxa" w:w="1728"/>
          </w:tcPr>
          <w:p>
            <w:r>
              <w:rPr>
                <w:rFonts w:ascii="Calibri" w:hAnsi="Calibri"/>
                <w:b/>
                <w:sz w:val="20"/>
              </w:rPr>
              <w:t>Time to Market</w:t>
            </w:r>
          </w:p>
        </w:tc>
        <w:tc>
          <w:tcPr>
            <w:tcW w:type="dxa" w:w="1728"/>
          </w:tcPr>
          <w:p>
            <w:r>
              <w:rPr>
                <w:rFonts w:ascii="Calibri" w:hAnsi="Calibri"/>
                <w:b/>
                <w:sz w:val="20"/>
              </w:rPr>
              <w:t>Risk</w:t>
            </w:r>
          </w:p>
        </w:tc>
      </w:tr>
      <w:tr>
        <w:tc>
          <w:tcPr>
            <w:tcW w:type="dxa" w:w="1728"/>
          </w:tcPr>
          <w:p>
            <w:r>
              <w:rPr>
                <w:rFonts w:ascii="Calibri" w:hAnsi="Calibri"/>
                <w:sz w:val="20"/>
              </w:rPr>
              <w:t>Build (SAP-O2C-Automation)</w:t>
            </w:r>
          </w:p>
        </w:tc>
        <w:tc>
          <w:tcPr>
            <w:tcW w:type="dxa" w:w="1728"/>
          </w:tcPr>
          <w:p>
            <w:r>
              <w:rPr>
                <w:rFonts w:ascii="Calibri" w:hAnsi="Calibri"/>
                <w:sz w:val="20"/>
              </w:rPr>
              <w:t>Full control, IP ownership, open-source community</w:t>
            </w:r>
          </w:p>
        </w:tc>
        <w:tc>
          <w:tcPr>
            <w:tcW w:type="dxa" w:w="1728"/>
          </w:tcPr>
          <w:p>
            <w:r>
              <w:rPr>
                <w:rFonts w:ascii="Calibri" w:hAnsi="Calibri"/>
                <w:sz w:val="20"/>
              </w:rPr>
              <w:t>$500K-2M seed</w:t>
            </w:r>
          </w:p>
        </w:tc>
        <w:tc>
          <w:tcPr>
            <w:tcW w:type="dxa" w:w="1728"/>
          </w:tcPr>
          <w:p>
            <w:r>
              <w:rPr>
                <w:rFonts w:ascii="Calibri" w:hAnsi="Calibri"/>
                <w:sz w:val="20"/>
              </w:rPr>
              <w:t>6-12 months to MVP</w:t>
            </w:r>
          </w:p>
        </w:tc>
        <w:tc>
          <w:tcPr>
            <w:tcW w:type="dxa" w:w="1728"/>
          </w:tcPr>
          <w:p>
            <w:r>
              <w:rPr>
                <w:rFonts w:ascii="Calibri" w:hAnsi="Calibri"/>
                <w:sz w:val="20"/>
              </w:rPr>
              <w:t>Execution risk, hiring</w:t>
            </w:r>
          </w:p>
        </w:tc>
      </w:tr>
      <w:tr>
        <w:tc>
          <w:tcPr>
            <w:tcW w:type="dxa" w:w="1728"/>
          </w:tcPr>
          <w:p>
            <w:r>
              <w:rPr>
                <w:rFonts w:ascii="Calibri" w:hAnsi="Calibri"/>
                <w:sz w:val="20"/>
              </w:rPr>
              <w:t>Partner with SAP (BTP ISV)</w:t>
            </w:r>
          </w:p>
        </w:tc>
        <w:tc>
          <w:tcPr>
            <w:tcW w:type="dxa" w:w="1728"/>
          </w:tcPr>
          <w:p>
            <w:r>
              <w:rPr>
                <w:rFonts w:ascii="Calibri" w:hAnsi="Calibri"/>
                <w:sz w:val="20"/>
              </w:rPr>
              <w:t>SAP ecosystem distribution, co-sell</w:t>
            </w:r>
          </w:p>
        </w:tc>
        <w:tc>
          <w:tcPr>
            <w:tcW w:type="dxa" w:w="1728"/>
          </w:tcPr>
          <w:p>
            <w:r>
              <w:rPr>
                <w:rFonts w:ascii="Calibri" w:hAnsi="Calibri"/>
                <w:sz w:val="20"/>
              </w:rPr>
              <w:t>$200K-500K + SAP fees</w:t>
            </w:r>
          </w:p>
        </w:tc>
        <w:tc>
          <w:tcPr>
            <w:tcW w:type="dxa" w:w="1728"/>
          </w:tcPr>
          <w:p>
            <w:r>
              <w:rPr>
                <w:rFonts w:ascii="Calibri" w:hAnsi="Calibri"/>
                <w:sz w:val="20"/>
              </w:rPr>
              <w:t>3-6 months to listing</w:t>
            </w:r>
          </w:p>
        </w:tc>
        <w:tc>
          <w:tcPr>
            <w:tcW w:type="dxa" w:w="1728"/>
          </w:tcPr>
          <w:p>
            <w:r>
              <w:rPr>
                <w:rFonts w:ascii="Calibri" w:hAnsi="Calibri"/>
                <w:sz w:val="20"/>
              </w:rPr>
              <w:t>SAP dependency, margin pressure</w:t>
            </w:r>
          </w:p>
        </w:tc>
      </w:tr>
      <w:tr>
        <w:tc>
          <w:tcPr>
            <w:tcW w:type="dxa" w:w="1728"/>
          </w:tcPr>
          <w:p>
            <w:r>
              <w:rPr>
                <w:rFonts w:ascii="Calibri" w:hAnsi="Calibri"/>
                <w:sz w:val="20"/>
              </w:rPr>
              <w:t>White-Label for SIs</w:t>
            </w:r>
          </w:p>
        </w:tc>
        <w:tc>
          <w:tcPr>
            <w:tcW w:type="dxa" w:w="1728"/>
          </w:tcPr>
          <w:p>
            <w:r>
              <w:rPr>
                <w:rFonts w:ascii="Calibri" w:hAnsi="Calibri"/>
                <w:sz w:val="20"/>
              </w:rPr>
              <w:t>Leverage existing customer relationships</w:t>
            </w:r>
          </w:p>
        </w:tc>
        <w:tc>
          <w:tcPr>
            <w:tcW w:type="dxa" w:w="1728"/>
          </w:tcPr>
          <w:p>
            <w:r>
              <w:rPr>
                <w:rFonts w:ascii="Calibri" w:hAnsi="Calibri"/>
                <w:sz w:val="20"/>
              </w:rPr>
              <w:t>$100K-300K</w:t>
            </w:r>
          </w:p>
        </w:tc>
        <w:tc>
          <w:tcPr>
            <w:tcW w:type="dxa" w:w="1728"/>
          </w:tcPr>
          <w:p>
            <w:r>
              <w:rPr>
                <w:rFonts w:ascii="Calibri" w:hAnsi="Calibri"/>
                <w:sz w:val="20"/>
              </w:rPr>
              <w:t>1-3 months</w:t>
            </w:r>
          </w:p>
        </w:tc>
        <w:tc>
          <w:tcPr>
            <w:tcW w:type="dxa" w:w="1728"/>
          </w:tcPr>
          <w:p>
            <w:r>
              <w:rPr>
                <w:rFonts w:ascii="Calibri" w:hAnsi="Calibri"/>
                <w:sz w:val="20"/>
              </w:rPr>
              <w:t>Low margins, no brand</w:t>
            </w:r>
          </w:p>
        </w:tc>
      </w:tr>
      <w:tr>
        <w:tc>
          <w:tcPr>
            <w:tcW w:type="dxa" w:w="1728"/>
          </w:tcPr>
          <w:p>
            <w:r>
              <w:rPr>
                <w:rFonts w:ascii="Calibri" w:hAnsi="Calibri"/>
                <w:sz w:val="20"/>
              </w:rPr>
              <w:t>Acquire and Enhance</w:t>
            </w:r>
          </w:p>
        </w:tc>
        <w:tc>
          <w:tcPr>
            <w:tcW w:type="dxa" w:w="1728"/>
          </w:tcPr>
          <w:p>
            <w:r>
              <w:rPr>
                <w:rFonts w:ascii="Calibri" w:hAnsi="Calibri"/>
                <w:sz w:val="20"/>
              </w:rPr>
              <w:t>Fast market entry with customer base</w:t>
            </w:r>
          </w:p>
        </w:tc>
        <w:tc>
          <w:tcPr>
            <w:tcW w:type="dxa" w:w="1728"/>
          </w:tcPr>
          <w:p>
            <w:r>
              <w:rPr>
                <w:rFonts w:ascii="Calibri" w:hAnsi="Calibri"/>
                <w:sz w:val="20"/>
              </w:rPr>
              <w:t>$5M-50M+</w:t>
            </w:r>
          </w:p>
        </w:tc>
        <w:tc>
          <w:tcPr>
            <w:tcW w:type="dxa" w:w="1728"/>
          </w:tcPr>
          <w:p>
            <w:r>
              <w:rPr>
                <w:rFonts w:ascii="Calibri" w:hAnsi="Calibri"/>
                <w:sz w:val="20"/>
              </w:rPr>
              <w:t>Immediate</w:t>
            </w:r>
          </w:p>
        </w:tc>
        <w:tc>
          <w:tcPr>
            <w:tcW w:type="dxa" w:w="1728"/>
          </w:tcPr>
          <w:p>
            <w:r>
              <w:rPr>
                <w:rFonts w:ascii="Calibri" w:hAnsi="Calibri"/>
                <w:sz w:val="20"/>
              </w:rPr>
              <w:t>Integration risk, cultural fit</w:t>
            </w:r>
          </w:p>
        </w:tc>
      </w:tr>
      <w:tr>
        <w:tc>
          <w:tcPr>
            <w:tcW w:type="dxa" w:w="1728"/>
          </w:tcPr>
          <w:p>
            <w:r>
              <w:rPr>
                <w:rFonts w:ascii="Calibri" w:hAnsi="Calibri"/>
                <w:sz w:val="20"/>
              </w:rPr>
              <w:t>Open Core Model</w:t>
            </w:r>
          </w:p>
        </w:tc>
        <w:tc>
          <w:tcPr>
            <w:tcW w:type="dxa" w:w="1728"/>
          </w:tcPr>
          <w:p>
            <w:r>
              <w:rPr>
                <w:rFonts w:ascii="Calibri" w:hAnsi="Calibri"/>
                <w:sz w:val="20"/>
              </w:rPr>
              <w:t>Developer-led adoption + enterprise upsell</w:t>
            </w:r>
          </w:p>
        </w:tc>
        <w:tc>
          <w:tcPr>
            <w:tcW w:type="dxa" w:w="1728"/>
          </w:tcPr>
          <w:p>
            <w:r>
              <w:rPr>
                <w:rFonts w:ascii="Calibri" w:hAnsi="Calibri"/>
                <w:sz w:val="20"/>
              </w:rPr>
              <w:t>$300K-1M</w:t>
            </w:r>
          </w:p>
        </w:tc>
        <w:tc>
          <w:tcPr>
            <w:tcW w:type="dxa" w:w="1728"/>
          </w:tcPr>
          <w:p>
            <w:r>
              <w:rPr>
                <w:rFonts w:ascii="Calibri" w:hAnsi="Calibri"/>
                <w:sz w:val="20"/>
              </w:rPr>
              <w:t>3-6 months</w:t>
            </w:r>
          </w:p>
        </w:tc>
        <w:tc>
          <w:tcPr>
            <w:tcW w:type="dxa" w:w="1728"/>
          </w:tcPr>
          <w:p>
            <w:r>
              <w:rPr>
                <w:rFonts w:ascii="Calibri" w:hAnsi="Calibri"/>
                <w:sz w:val="20"/>
              </w:rPr>
              <w:t>Monetization timing</w:t>
            </w:r>
          </w:p>
        </w:tc>
      </w:tr>
    </w:tbl>
    <w:p/>
    <w:p>
      <w:pPr>
        <w:pStyle w:val="Heading2"/>
      </w:pPr>
      <w:r>
        <w:t>North Star Metric: HURT (Human Review Time)</w:t>
      </w:r>
    </w:p>
    <w:p>
      <w:r>
        <w:t>Following Emergence Capital's guidance, the recommended North Star metric for an AI-powered SAP O2C automation solution is HURT (Human Review Time) -- the percentage of O2C transactions that require human intervention: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Stage</w:t>
            </w:r>
          </w:p>
        </w:tc>
        <w:tc>
          <w:tcPr>
            <w:tcW w:type="dxa" w:w="2160"/>
          </w:tcPr>
          <w:p>
            <w:r>
              <w:rPr>
                <w:rFonts w:ascii="Calibri" w:hAnsi="Calibri"/>
                <w:b/>
                <w:sz w:val="20"/>
              </w:rPr>
              <w:t>HURT Target</w:t>
            </w:r>
          </w:p>
        </w:tc>
        <w:tc>
          <w:tcPr>
            <w:tcW w:type="dxa" w:w="2160"/>
          </w:tcPr>
          <w:p>
            <w:r>
              <w:rPr>
                <w:rFonts w:ascii="Calibri" w:hAnsi="Calibri"/>
                <w:b/>
                <w:sz w:val="20"/>
              </w:rPr>
              <w:t>Revenue Implication</w:t>
            </w:r>
          </w:p>
        </w:tc>
        <w:tc>
          <w:tcPr>
            <w:tcW w:type="dxa" w:w="2160"/>
          </w:tcPr>
          <w:p>
            <w:r>
              <w:rPr>
                <w:rFonts w:ascii="Calibri" w:hAnsi="Calibri"/>
                <w:b/>
                <w:sz w:val="20"/>
              </w:rPr>
              <w:t>Milestone</w:t>
            </w:r>
          </w:p>
        </w:tc>
      </w:tr>
      <w:tr>
        <w:tc>
          <w:tcPr>
            <w:tcW w:type="dxa" w:w="2160"/>
          </w:tcPr>
          <w:p>
            <w:r>
              <w:rPr>
                <w:rFonts w:ascii="Calibri" w:hAnsi="Calibri"/>
                <w:sz w:val="20"/>
              </w:rPr>
              <w:t>Pilot</w:t>
            </w:r>
          </w:p>
        </w:tc>
        <w:tc>
          <w:tcPr>
            <w:tcW w:type="dxa" w:w="2160"/>
          </w:tcPr>
          <w:p>
            <w:r>
              <w:rPr>
                <w:rFonts w:ascii="Calibri" w:hAnsi="Calibri"/>
                <w:sz w:val="20"/>
              </w:rPr>
              <w:t>&lt; 40%</w:t>
            </w:r>
          </w:p>
        </w:tc>
        <w:tc>
          <w:tcPr>
            <w:tcW w:type="dxa" w:w="2160"/>
          </w:tcPr>
          <w:p>
            <w:r>
              <w:rPr>
                <w:rFonts w:ascii="Calibri" w:hAnsi="Calibri"/>
                <w:sz w:val="20"/>
              </w:rPr>
              <w:t>Demonstrate AI leverage over manual process</w:t>
            </w:r>
          </w:p>
        </w:tc>
        <w:tc>
          <w:tcPr>
            <w:tcW w:type="dxa" w:w="2160"/>
          </w:tcPr>
          <w:p>
            <w:r>
              <w:rPr>
                <w:rFonts w:ascii="Calibri" w:hAnsi="Calibri"/>
                <w:sz w:val="20"/>
              </w:rPr>
              <w:t>First 5 customers</w:t>
            </w:r>
          </w:p>
        </w:tc>
      </w:tr>
      <w:tr>
        <w:tc>
          <w:tcPr>
            <w:tcW w:type="dxa" w:w="2160"/>
          </w:tcPr>
          <w:p>
            <w:r>
              <w:rPr>
                <w:rFonts w:ascii="Calibri" w:hAnsi="Calibri"/>
                <w:sz w:val="20"/>
              </w:rPr>
              <w:t>Product-Market Fit</w:t>
            </w:r>
          </w:p>
        </w:tc>
        <w:tc>
          <w:tcPr>
            <w:tcW w:type="dxa" w:w="2160"/>
          </w:tcPr>
          <w:p>
            <w:r>
              <w:rPr>
                <w:rFonts w:ascii="Calibri" w:hAnsi="Calibri"/>
                <w:sz w:val="20"/>
              </w:rPr>
              <w:t>&lt; 20%</w:t>
            </w:r>
          </w:p>
        </w:tc>
        <w:tc>
          <w:tcPr>
            <w:tcW w:type="dxa" w:w="2160"/>
          </w:tcPr>
          <w:p>
            <w:r>
              <w:rPr>
                <w:rFonts w:ascii="Calibri" w:hAnsi="Calibri"/>
                <w:sz w:val="20"/>
              </w:rPr>
              <w:t>Gross margins above 60%</w:t>
            </w:r>
          </w:p>
        </w:tc>
        <w:tc>
          <w:tcPr>
            <w:tcW w:type="dxa" w:w="2160"/>
          </w:tcPr>
          <w:p>
            <w:r>
              <w:rPr>
                <w:rFonts w:ascii="Calibri" w:hAnsi="Calibri"/>
                <w:sz w:val="20"/>
              </w:rPr>
              <w:t>20+ customers, repeatable sales</w:t>
            </w:r>
          </w:p>
        </w:tc>
      </w:tr>
      <w:tr>
        <w:tc>
          <w:tcPr>
            <w:tcW w:type="dxa" w:w="2160"/>
          </w:tcPr>
          <w:p>
            <w:r>
              <w:rPr>
                <w:rFonts w:ascii="Calibri" w:hAnsi="Calibri"/>
                <w:sz w:val="20"/>
              </w:rPr>
              <w:t>Scale</w:t>
            </w:r>
          </w:p>
        </w:tc>
        <w:tc>
          <w:tcPr>
            <w:tcW w:type="dxa" w:w="2160"/>
          </w:tcPr>
          <w:p>
            <w:r>
              <w:rPr>
                <w:rFonts w:ascii="Calibri" w:hAnsi="Calibri"/>
                <w:sz w:val="20"/>
              </w:rPr>
              <w:t>&lt; 10%</w:t>
            </w:r>
          </w:p>
        </w:tc>
        <w:tc>
          <w:tcPr>
            <w:tcW w:type="dxa" w:w="2160"/>
          </w:tcPr>
          <w:p>
            <w:r>
              <w:rPr>
                <w:rFonts w:ascii="Calibri" w:hAnsi="Calibri"/>
                <w:sz w:val="20"/>
              </w:rPr>
              <w:t>Gross margins above 70%, outcome-based pricing viable</w:t>
            </w:r>
          </w:p>
        </w:tc>
        <w:tc>
          <w:tcPr>
            <w:tcW w:type="dxa" w:w="2160"/>
          </w:tcPr>
          <w:p>
            <w:r>
              <w:rPr>
                <w:rFonts w:ascii="Calibri" w:hAnsi="Calibri"/>
                <w:sz w:val="20"/>
              </w:rPr>
              <w:t>100+ customers</w:t>
            </w:r>
          </w:p>
        </w:tc>
      </w:tr>
      <w:tr>
        <w:tc>
          <w:tcPr>
            <w:tcW w:type="dxa" w:w="2160"/>
          </w:tcPr>
          <w:p>
            <w:r>
              <w:rPr>
                <w:rFonts w:ascii="Calibri" w:hAnsi="Calibri"/>
                <w:sz w:val="20"/>
              </w:rPr>
              <w:t>Market Leader</w:t>
            </w:r>
          </w:p>
        </w:tc>
        <w:tc>
          <w:tcPr>
            <w:tcW w:type="dxa" w:w="2160"/>
          </w:tcPr>
          <w:p>
            <w:r>
              <w:rPr>
                <w:rFonts w:ascii="Calibri" w:hAnsi="Calibri"/>
                <w:sz w:val="20"/>
              </w:rPr>
              <w:t>&lt; 5%</w:t>
            </w:r>
          </w:p>
        </w:tc>
        <w:tc>
          <w:tcPr>
            <w:tcW w:type="dxa" w:w="2160"/>
          </w:tcPr>
          <w:p>
            <w:r>
              <w:rPr>
                <w:rFonts w:ascii="Calibri" w:hAnsi="Calibri"/>
                <w:sz w:val="20"/>
              </w:rPr>
              <w:t>Software-like economics at services TAM</w:t>
            </w:r>
          </w:p>
        </w:tc>
        <w:tc>
          <w:tcPr>
            <w:tcW w:type="dxa" w:w="2160"/>
          </w:tcPr>
          <w:p>
            <w:r>
              <w:rPr>
                <w:rFonts w:ascii="Calibri" w:hAnsi="Calibri"/>
                <w:sz w:val="20"/>
              </w:rPr>
              <w:t>Industry standard</w:t>
            </w:r>
          </w:p>
        </w:tc>
      </w:tr>
    </w:tbl>
    <w:p/>
    <w:p>
      <w:pPr>
        <w:pStyle w:val="Heading2"/>
      </w:pPr>
      <w:r>
        <w:t>Strategic Positioning Map</w:t>
      </w:r>
    </w:p>
    <w:p>
      <w:r>
        <w:t>The optimal positioning for the SAP-O2C-Automation solution sits at the intersection of:</w:t>
      </w:r>
    </w:p>
    <w:p>
      <w:pPr>
        <w:pStyle w:val="ListBullet"/>
      </w:pPr>
      <w:r>
        <w:rPr>
          <w:rFonts w:ascii="Calibri" w:hAnsi="Calibri"/>
          <w:b/>
          <w:sz w:val="22"/>
        </w:rPr>
        <w:t xml:space="preserve">Vertical Depth: </w:t>
      </w:r>
      <w:r>
        <w:rPr>
          <w:rFonts w:ascii="Calibri" w:hAnsi="Calibri"/>
          <w:sz w:val="22"/>
        </w:rPr>
        <w:t>SAP O2C-specific (not horizontal automation) -- deeper than UiPath/Automation Anywhere</w:t>
      </w:r>
    </w:p>
    <w:p>
      <w:pPr>
        <w:pStyle w:val="ListBullet"/>
      </w:pPr>
      <w:r>
        <w:rPr>
          <w:rFonts w:ascii="Calibri" w:hAnsi="Calibri"/>
          <w:b/>
          <w:sz w:val="22"/>
        </w:rPr>
        <w:t xml:space="preserve">Architectural Modernity: </w:t>
      </w:r>
      <w:r>
        <w:rPr>
          <w:rFonts w:ascii="Calibri" w:hAnsi="Calibri"/>
          <w:sz w:val="22"/>
        </w:rPr>
        <w:t>Multi-agent + MCP-native (not RPA-with-AI-bolt-on) -- more modern than HighRadius/BlackLine</w:t>
      </w:r>
    </w:p>
    <w:p>
      <w:pPr>
        <w:pStyle w:val="ListBullet"/>
      </w:pPr>
      <w:r>
        <w:rPr>
          <w:rFonts w:ascii="Calibri" w:hAnsi="Calibri"/>
          <w:b/>
          <w:sz w:val="22"/>
        </w:rPr>
        <w:t xml:space="preserve">Cost Efficiency: </w:t>
      </w:r>
      <w:r>
        <w:rPr>
          <w:rFonts w:ascii="Calibri" w:hAnsi="Calibri"/>
          <w:sz w:val="22"/>
        </w:rPr>
        <w:t>Open-source core with free-tier LLMs -- dramatically lower entry cost than enterprise incumbents</w:t>
      </w:r>
    </w:p>
    <w:p>
      <w:pPr>
        <w:pStyle w:val="ListBullet"/>
      </w:pPr>
      <w:r>
        <w:rPr>
          <w:rFonts w:ascii="Calibri" w:hAnsi="Calibri"/>
          <w:b/>
          <w:sz w:val="22"/>
        </w:rPr>
        <w:t xml:space="preserve">Ecosystem Alignment: </w:t>
      </w:r>
      <w:r>
        <w:rPr>
          <w:rFonts w:ascii="Calibri" w:hAnsi="Calibri"/>
          <w:sz w:val="22"/>
        </w:rPr>
        <w:t>Built on SAP-compatible protocols (OData, MCP, BTP) -- more integrated than generic AI platforms</w:t>
      </w:r>
    </w:p>
    <w:p>
      <w:r>
        <w:br w:type="page"/>
      </w:r>
    </w:p>
    <w:p>
      <w:pPr>
        <w:pStyle w:val="Heading1"/>
      </w:pPr>
      <w:r>
        <w:t>11. Competitive Landscape</w:t>
      </w:r>
    </w:p>
    <w:p>
      <w:pPr>
        <w:pStyle w:val="Heading2"/>
      </w:pPr>
      <w:r>
        <w:t>Market Positioning Map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sz w:val="20"/>
              </w:rPr>
              <w:t>Company</w:t>
            </w:r>
          </w:p>
        </w:tc>
        <w:tc>
          <w:tcPr>
            <w:tcW w:type="dxa" w:w="1440"/>
          </w:tcPr>
          <w:p>
            <w:r>
              <w:rPr>
                <w:rFonts w:ascii="Calibri" w:hAnsi="Calibri"/>
                <w:b/>
                <w:sz w:val="20"/>
              </w:rPr>
              <w:t>Category</w:t>
            </w:r>
          </w:p>
        </w:tc>
        <w:tc>
          <w:tcPr>
            <w:tcW w:type="dxa" w:w="1440"/>
          </w:tcPr>
          <w:p>
            <w:r>
              <w:rPr>
                <w:rFonts w:ascii="Calibri" w:hAnsi="Calibri"/>
                <w:b/>
                <w:sz w:val="20"/>
              </w:rPr>
              <w:t>O2C Coverage</w:t>
            </w:r>
          </w:p>
        </w:tc>
        <w:tc>
          <w:tcPr>
            <w:tcW w:type="dxa" w:w="1440"/>
          </w:tcPr>
          <w:p>
            <w:r>
              <w:rPr>
                <w:rFonts w:ascii="Calibri" w:hAnsi="Calibri"/>
                <w:b/>
                <w:sz w:val="20"/>
              </w:rPr>
              <w:t>AI Maturity</w:t>
            </w:r>
          </w:p>
        </w:tc>
        <w:tc>
          <w:tcPr>
            <w:tcW w:type="dxa" w:w="1440"/>
          </w:tcPr>
          <w:p>
            <w:r>
              <w:rPr>
                <w:rFonts w:ascii="Calibri" w:hAnsi="Calibri"/>
                <w:b/>
                <w:sz w:val="20"/>
              </w:rPr>
              <w:t>SAP Depth</w:t>
            </w:r>
          </w:p>
        </w:tc>
        <w:tc>
          <w:tcPr>
            <w:tcW w:type="dxa" w:w="1440"/>
          </w:tcPr>
          <w:p>
            <w:r>
              <w:rPr>
                <w:rFonts w:ascii="Calibri" w:hAnsi="Calibri"/>
                <w:b/>
                <w:sz w:val="20"/>
              </w:rPr>
              <w:t>Pricing</w:t>
            </w:r>
          </w:p>
        </w:tc>
      </w:tr>
      <w:tr>
        <w:tc>
          <w:tcPr>
            <w:tcW w:type="dxa" w:w="1440"/>
          </w:tcPr>
          <w:p>
            <w:r>
              <w:rPr>
                <w:rFonts w:ascii="Calibri" w:hAnsi="Calibri"/>
                <w:sz w:val="20"/>
              </w:rPr>
              <w:t>SAP (Joule)</w:t>
            </w:r>
          </w:p>
        </w:tc>
        <w:tc>
          <w:tcPr>
            <w:tcW w:type="dxa" w:w="1440"/>
          </w:tcPr>
          <w:p>
            <w:r>
              <w:rPr>
                <w:rFonts w:ascii="Calibri" w:hAnsi="Calibri"/>
                <w:sz w:val="20"/>
              </w:rPr>
              <w:t>Platform Incumbent</w:t>
            </w:r>
          </w:p>
        </w:tc>
        <w:tc>
          <w:tcPr>
            <w:tcW w:type="dxa" w:w="1440"/>
          </w:tcPr>
          <w:p>
            <w:r>
              <w:rPr>
                <w:rFonts w:ascii="Calibri" w:hAnsi="Calibri"/>
                <w:sz w:val="20"/>
              </w:rPr>
              <w:t>Full (via Joule Skills)</w:t>
            </w:r>
          </w:p>
        </w:tc>
        <w:tc>
          <w:tcPr>
            <w:tcW w:type="dxa" w:w="1440"/>
          </w:tcPr>
          <w:p>
            <w:r>
              <w:rPr>
                <w:rFonts w:ascii="Calibri" w:hAnsi="Calibri"/>
                <w:sz w:val="20"/>
              </w:rPr>
              <w:t>High (40+ agents)</w:t>
            </w:r>
          </w:p>
        </w:tc>
        <w:tc>
          <w:tcPr>
            <w:tcW w:type="dxa" w:w="1440"/>
          </w:tcPr>
          <w:p>
            <w:r>
              <w:rPr>
                <w:rFonts w:ascii="Calibri" w:hAnsi="Calibri"/>
                <w:sz w:val="20"/>
              </w:rPr>
              <w:t>Native</w:t>
            </w:r>
          </w:p>
        </w:tc>
        <w:tc>
          <w:tcPr>
            <w:tcW w:type="dxa" w:w="1440"/>
          </w:tcPr>
          <w:p>
            <w:r>
              <w:rPr>
                <w:rFonts w:ascii="Calibri" w:hAnsi="Calibri"/>
                <w:sz w:val="20"/>
              </w:rPr>
              <w:t>Bundled with S/4HANA</w:t>
            </w:r>
          </w:p>
        </w:tc>
      </w:tr>
      <w:tr>
        <w:tc>
          <w:tcPr>
            <w:tcW w:type="dxa" w:w="1440"/>
          </w:tcPr>
          <w:p>
            <w:r>
              <w:rPr>
                <w:rFonts w:ascii="Calibri" w:hAnsi="Calibri"/>
                <w:sz w:val="20"/>
              </w:rPr>
              <w:t>HighRadius</w:t>
            </w:r>
          </w:p>
        </w:tc>
        <w:tc>
          <w:tcPr>
            <w:tcW w:type="dxa" w:w="1440"/>
          </w:tcPr>
          <w:p>
            <w:r>
              <w:rPr>
                <w:rFonts w:ascii="Calibri" w:hAnsi="Calibri"/>
                <w:sz w:val="20"/>
              </w:rPr>
              <w:t>AR Specialist</w:t>
            </w:r>
          </w:p>
        </w:tc>
        <w:tc>
          <w:tcPr>
            <w:tcW w:type="dxa" w:w="1440"/>
          </w:tcPr>
          <w:p>
            <w:r>
              <w:rPr>
                <w:rFonts w:ascii="Calibri" w:hAnsi="Calibri"/>
                <w:sz w:val="20"/>
              </w:rPr>
              <w:t>AR-focused (60% of O2C)</w:t>
            </w:r>
          </w:p>
        </w:tc>
        <w:tc>
          <w:tcPr>
            <w:tcW w:type="dxa" w:w="1440"/>
          </w:tcPr>
          <w:p>
            <w:r>
              <w:rPr>
                <w:rFonts w:ascii="Calibri" w:hAnsi="Calibri"/>
                <w:sz w:val="20"/>
              </w:rPr>
              <w:t>High (AI-native)</w:t>
            </w:r>
          </w:p>
        </w:tc>
        <w:tc>
          <w:tcPr>
            <w:tcW w:type="dxa" w:w="1440"/>
          </w:tcPr>
          <w:p>
            <w:r>
              <w:rPr>
                <w:rFonts w:ascii="Calibri" w:hAnsi="Calibri"/>
                <w:sz w:val="20"/>
              </w:rPr>
              <w:t>Deep</w:t>
            </w:r>
          </w:p>
        </w:tc>
        <w:tc>
          <w:tcPr>
            <w:tcW w:type="dxa" w:w="1440"/>
          </w:tcPr>
          <w:p>
            <w:r>
              <w:rPr>
                <w:rFonts w:ascii="Calibri" w:hAnsi="Calibri"/>
                <w:sz w:val="20"/>
              </w:rPr>
              <w:t>$100-500K ACV</w:t>
            </w:r>
          </w:p>
        </w:tc>
      </w:tr>
      <w:tr>
        <w:tc>
          <w:tcPr>
            <w:tcW w:type="dxa" w:w="1440"/>
          </w:tcPr>
          <w:p>
            <w:r>
              <w:rPr>
                <w:rFonts w:ascii="Calibri" w:hAnsi="Calibri"/>
                <w:sz w:val="20"/>
              </w:rPr>
              <w:t>Celonis</w:t>
            </w:r>
          </w:p>
        </w:tc>
        <w:tc>
          <w:tcPr>
            <w:tcW w:type="dxa" w:w="1440"/>
          </w:tcPr>
          <w:p>
            <w:r>
              <w:rPr>
                <w:rFonts w:ascii="Calibri" w:hAnsi="Calibri"/>
                <w:sz w:val="20"/>
              </w:rPr>
              <w:t>Process Intelligence</w:t>
            </w:r>
          </w:p>
        </w:tc>
        <w:tc>
          <w:tcPr>
            <w:tcW w:type="dxa" w:w="1440"/>
          </w:tcPr>
          <w:p>
            <w:r>
              <w:rPr>
                <w:rFonts w:ascii="Calibri" w:hAnsi="Calibri"/>
                <w:sz w:val="20"/>
              </w:rPr>
              <w:t>Analytics layer (no execution)</w:t>
            </w:r>
          </w:p>
        </w:tc>
        <w:tc>
          <w:tcPr>
            <w:tcW w:type="dxa" w:w="1440"/>
          </w:tcPr>
          <w:p>
            <w:r>
              <w:rPr>
                <w:rFonts w:ascii="Calibri" w:hAnsi="Calibri"/>
                <w:sz w:val="20"/>
              </w:rPr>
              <w:t>Medium-High</w:t>
            </w:r>
          </w:p>
        </w:tc>
        <w:tc>
          <w:tcPr>
            <w:tcW w:type="dxa" w:w="1440"/>
          </w:tcPr>
          <w:p>
            <w:r>
              <w:rPr>
                <w:rFonts w:ascii="Calibri" w:hAnsi="Calibri"/>
                <w:sz w:val="20"/>
              </w:rPr>
              <w:t>Deep</w:t>
            </w:r>
          </w:p>
        </w:tc>
        <w:tc>
          <w:tcPr>
            <w:tcW w:type="dxa" w:w="1440"/>
          </w:tcPr>
          <w:p>
            <w:r>
              <w:rPr>
                <w:rFonts w:ascii="Calibri" w:hAnsi="Calibri"/>
                <w:sz w:val="20"/>
              </w:rPr>
              <w:t>$200K-1M+ ACV</w:t>
            </w:r>
          </w:p>
        </w:tc>
      </w:tr>
      <w:tr>
        <w:tc>
          <w:tcPr>
            <w:tcW w:type="dxa" w:w="1440"/>
          </w:tcPr>
          <w:p>
            <w:r>
              <w:rPr>
                <w:rFonts w:ascii="Calibri" w:hAnsi="Calibri"/>
                <w:sz w:val="20"/>
              </w:rPr>
              <w:t>UiPath</w:t>
            </w:r>
          </w:p>
        </w:tc>
        <w:tc>
          <w:tcPr>
            <w:tcW w:type="dxa" w:w="1440"/>
          </w:tcPr>
          <w:p>
            <w:r>
              <w:rPr>
                <w:rFonts w:ascii="Calibri" w:hAnsi="Calibri"/>
                <w:sz w:val="20"/>
              </w:rPr>
              <w:t>RPA Platform</w:t>
            </w:r>
          </w:p>
        </w:tc>
        <w:tc>
          <w:tcPr>
            <w:tcW w:type="dxa" w:w="1440"/>
          </w:tcPr>
          <w:p>
            <w:r>
              <w:rPr>
                <w:rFonts w:ascii="Calibri" w:hAnsi="Calibri"/>
                <w:sz w:val="20"/>
              </w:rPr>
              <w:t>Task automation (fragmented)</w:t>
            </w:r>
          </w:p>
        </w:tc>
        <w:tc>
          <w:tcPr>
            <w:tcW w:type="dxa" w:w="1440"/>
          </w:tcPr>
          <w:p>
            <w:r>
              <w:rPr>
                <w:rFonts w:ascii="Calibri" w:hAnsi="Calibri"/>
                <w:sz w:val="20"/>
              </w:rPr>
              <w:t>Medium (pivoting)</w:t>
            </w:r>
          </w:p>
        </w:tc>
        <w:tc>
          <w:tcPr>
            <w:tcW w:type="dxa" w:w="1440"/>
          </w:tcPr>
          <w:p>
            <w:r>
              <w:rPr>
                <w:rFonts w:ascii="Calibri" w:hAnsi="Calibri"/>
                <w:sz w:val="20"/>
              </w:rPr>
              <w:t>Moderate</w:t>
            </w:r>
          </w:p>
        </w:tc>
        <w:tc>
          <w:tcPr>
            <w:tcW w:type="dxa" w:w="1440"/>
          </w:tcPr>
          <w:p>
            <w:r>
              <w:rPr>
                <w:rFonts w:ascii="Calibri" w:hAnsi="Calibri"/>
                <w:sz w:val="20"/>
              </w:rPr>
              <w:t>$50-200K ACV</w:t>
            </w:r>
          </w:p>
        </w:tc>
      </w:tr>
      <w:tr>
        <w:tc>
          <w:tcPr>
            <w:tcW w:type="dxa" w:w="1440"/>
          </w:tcPr>
          <w:p>
            <w:r>
              <w:rPr>
                <w:rFonts w:ascii="Calibri" w:hAnsi="Calibri"/>
                <w:sz w:val="20"/>
              </w:rPr>
              <w:t>Automation Anywhere</w:t>
            </w:r>
          </w:p>
        </w:tc>
        <w:tc>
          <w:tcPr>
            <w:tcW w:type="dxa" w:w="1440"/>
          </w:tcPr>
          <w:p>
            <w:r>
              <w:rPr>
                <w:rFonts w:ascii="Calibri" w:hAnsi="Calibri"/>
                <w:sz w:val="20"/>
              </w:rPr>
              <w:t>RPA Platform</w:t>
            </w:r>
          </w:p>
        </w:tc>
        <w:tc>
          <w:tcPr>
            <w:tcW w:type="dxa" w:w="1440"/>
          </w:tcPr>
          <w:p>
            <w:r>
              <w:rPr>
                <w:rFonts w:ascii="Calibri" w:hAnsi="Calibri"/>
                <w:sz w:val="20"/>
              </w:rPr>
              <w:t>Task automation (fragmented)</w:t>
            </w:r>
          </w:p>
        </w:tc>
        <w:tc>
          <w:tcPr>
            <w:tcW w:type="dxa" w:w="1440"/>
          </w:tcPr>
          <w:p>
            <w:r>
              <w:rPr>
                <w:rFonts w:ascii="Calibri" w:hAnsi="Calibri"/>
                <w:sz w:val="20"/>
              </w:rPr>
              <w:t>Medium (pivoting)</w:t>
            </w:r>
          </w:p>
        </w:tc>
        <w:tc>
          <w:tcPr>
            <w:tcW w:type="dxa" w:w="1440"/>
          </w:tcPr>
          <w:p>
            <w:r>
              <w:rPr>
                <w:rFonts w:ascii="Calibri" w:hAnsi="Calibri"/>
                <w:sz w:val="20"/>
              </w:rPr>
              <w:t>Moderate</w:t>
            </w:r>
          </w:p>
        </w:tc>
        <w:tc>
          <w:tcPr>
            <w:tcW w:type="dxa" w:w="1440"/>
          </w:tcPr>
          <w:p>
            <w:r>
              <w:rPr>
                <w:rFonts w:ascii="Calibri" w:hAnsi="Calibri"/>
                <w:sz w:val="20"/>
              </w:rPr>
              <w:t>$50-150K ACV</w:t>
            </w:r>
          </w:p>
        </w:tc>
      </w:tr>
      <w:tr>
        <w:tc>
          <w:tcPr>
            <w:tcW w:type="dxa" w:w="1440"/>
          </w:tcPr>
          <w:p>
            <w:r>
              <w:rPr>
                <w:rFonts w:ascii="Calibri" w:hAnsi="Calibri"/>
                <w:sz w:val="20"/>
              </w:rPr>
              <w:t>Tessera Labs</w:t>
            </w:r>
          </w:p>
        </w:tc>
        <w:tc>
          <w:tcPr>
            <w:tcW w:type="dxa" w:w="1440"/>
          </w:tcPr>
          <w:p>
            <w:r>
              <w:rPr>
                <w:rFonts w:ascii="Calibri" w:hAnsi="Calibri"/>
                <w:sz w:val="20"/>
              </w:rPr>
              <w:t>Migration AI</w:t>
            </w:r>
          </w:p>
        </w:tc>
        <w:tc>
          <w:tcPr>
            <w:tcW w:type="dxa" w:w="1440"/>
          </w:tcPr>
          <w:p>
            <w:r>
              <w:rPr>
                <w:rFonts w:ascii="Calibri" w:hAnsi="Calibri"/>
                <w:sz w:val="20"/>
              </w:rPr>
              <w:t>Day-1 only (migration)</w:t>
            </w:r>
          </w:p>
        </w:tc>
        <w:tc>
          <w:tcPr>
            <w:tcW w:type="dxa" w:w="1440"/>
          </w:tcPr>
          <w:p>
            <w:r>
              <w:rPr>
                <w:rFonts w:ascii="Calibri" w:hAnsi="Calibri"/>
                <w:sz w:val="20"/>
              </w:rPr>
              <w:t>High (multi-agent)</w:t>
            </w:r>
          </w:p>
        </w:tc>
        <w:tc>
          <w:tcPr>
            <w:tcW w:type="dxa" w:w="1440"/>
          </w:tcPr>
          <w:p>
            <w:r>
              <w:rPr>
                <w:rFonts w:ascii="Calibri" w:hAnsi="Calibri"/>
                <w:sz w:val="20"/>
              </w:rPr>
              <w:t>Deep</w:t>
            </w:r>
          </w:p>
        </w:tc>
        <w:tc>
          <w:tcPr>
            <w:tcW w:type="dxa" w:w="1440"/>
          </w:tcPr>
          <w:p>
            <w:r>
              <w:rPr>
                <w:rFonts w:ascii="Calibri" w:hAnsi="Calibri"/>
                <w:sz w:val="20"/>
              </w:rPr>
              <w:t>Project-based</w:t>
            </w:r>
          </w:p>
        </w:tc>
      </w:tr>
      <w:tr>
        <w:tc>
          <w:tcPr>
            <w:tcW w:type="dxa" w:w="1440"/>
          </w:tcPr>
          <w:p>
            <w:r>
              <w:rPr>
                <w:rFonts w:ascii="Calibri" w:hAnsi="Calibri"/>
                <w:sz w:val="20"/>
              </w:rPr>
              <w:t>BlackLine</w:t>
            </w:r>
          </w:p>
        </w:tc>
        <w:tc>
          <w:tcPr>
            <w:tcW w:type="dxa" w:w="1440"/>
          </w:tcPr>
          <w:p>
            <w:r>
              <w:rPr>
                <w:rFonts w:ascii="Calibri" w:hAnsi="Calibri"/>
                <w:sz w:val="20"/>
              </w:rPr>
              <w:t>Financial Close</w:t>
            </w:r>
          </w:p>
        </w:tc>
        <w:tc>
          <w:tcPr>
            <w:tcW w:type="dxa" w:w="1440"/>
          </w:tcPr>
          <w:p>
            <w:r>
              <w:rPr>
                <w:rFonts w:ascii="Calibri" w:hAnsi="Calibri"/>
                <w:sz w:val="20"/>
              </w:rPr>
              <w:t>AR + close (partial)</w:t>
            </w:r>
          </w:p>
        </w:tc>
        <w:tc>
          <w:tcPr>
            <w:tcW w:type="dxa" w:w="1440"/>
          </w:tcPr>
          <w:p>
            <w:r>
              <w:rPr>
                <w:rFonts w:ascii="Calibri" w:hAnsi="Calibri"/>
                <w:sz w:val="20"/>
              </w:rPr>
              <w:t>Medium</w:t>
            </w:r>
          </w:p>
        </w:tc>
        <w:tc>
          <w:tcPr>
            <w:tcW w:type="dxa" w:w="1440"/>
          </w:tcPr>
          <w:p>
            <w:r>
              <w:rPr>
                <w:rFonts w:ascii="Calibri" w:hAnsi="Calibri"/>
                <w:sz w:val="20"/>
              </w:rPr>
              <w:t>Certified</w:t>
            </w:r>
          </w:p>
        </w:tc>
        <w:tc>
          <w:tcPr>
            <w:tcW w:type="dxa" w:w="1440"/>
          </w:tcPr>
          <w:p>
            <w:r>
              <w:rPr>
                <w:rFonts w:ascii="Calibri" w:hAnsi="Calibri"/>
                <w:sz w:val="20"/>
              </w:rPr>
              <w:t>$100-300K ACV</w:t>
            </w:r>
          </w:p>
        </w:tc>
      </w:tr>
      <w:tr>
        <w:tc>
          <w:tcPr>
            <w:tcW w:type="dxa" w:w="1440"/>
          </w:tcPr>
          <w:p>
            <w:r>
              <w:rPr>
                <w:rFonts w:ascii="Calibri" w:hAnsi="Calibri"/>
                <w:sz w:val="20"/>
              </w:rPr>
              <w:t>Billtrust</w:t>
            </w:r>
          </w:p>
        </w:tc>
        <w:tc>
          <w:tcPr>
            <w:tcW w:type="dxa" w:w="1440"/>
          </w:tcPr>
          <w:p>
            <w:r>
              <w:rPr>
                <w:rFonts w:ascii="Calibri" w:hAnsi="Calibri"/>
                <w:sz w:val="20"/>
              </w:rPr>
              <w:t>AR Automation</w:t>
            </w:r>
          </w:p>
        </w:tc>
        <w:tc>
          <w:tcPr>
            <w:tcW w:type="dxa" w:w="1440"/>
          </w:tcPr>
          <w:p>
            <w:r>
              <w:rPr>
                <w:rFonts w:ascii="Calibri" w:hAnsi="Calibri"/>
                <w:sz w:val="20"/>
              </w:rPr>
              <w:t>Invoice-to-cash</w:t>
            </w:r>
          </w:p>
        </w:tc>
        <w:tc>
          <w:tcPr>
            <w:tcW w:type="dxa" w:w="1440"/>
          </w:tcPr>
          <w:p>
            <w:r>
              <w:rPr>
                <w:rFonts w:ascii="Calibri" w:hAnsi="Calibri"/>
                <w:sz w:val="20"/>
              </w:rPr>
              <w:t>Medium-High</w:t>
            </w:r>
          </w:p>
        </w:tc>
        <w:tc>
          <w:tcPr>
            <w:tcW w:type="dxa" w:w="1440"/>
          </w:tcPr>
          <w:p>
            <w:r>
              <w:rPr>
                <w:rFonts w:ascii="Calibri" w:hAnsi="Calibri"/>
                <w:sz w:val="20"/>
              </w:rPr>
              <w:t>Battle-tested</w:t>
            </w:r>
          </w:p>
        </w:tc>
        <w:tc>
          <w:tcPr>
            <w:tcW w:type="dxa" w:w="1440"/>
          </w:tcPr>
          <w:p>
            <w:r>
              <w:rPr>
                <w:rFonts w:ascii="Calibri" w:hAnsi="Calibri"/>
                <w:sz w:val="20"/>
              </w:rPr>
              <w:t>$50-200K ACV</w:t>
            </w:r>
          </w:p>
        </w:tc>
      </w:tr>
      <w:tr>
        <w:tc>
          <w:tcPr>
            <w:tcW w:type="dxa" w:w="1440"/>
          </w:tcPr>
          <w:p>
            <w:r>
              <w:rPr>
                <w:rFonts w:ascii="Calibri" w:hAnsi="Calibri"/>
                <w:sz w:val="20"/>
              </w:rPr>
              <w:t>SAP-O2C-Automation</w:t>
            </w:r>
          </w:p>
        </w:tc>
        <w:tc>
          <w:tcPr>
            <w:tcW w:type="dxa" w:w="1440"/>
          </w:tcPr>
          <w:p>
            <w:r>
              <w:rPr>
                <w:rFonts w:ascii="Calibri" w:hAnsi="Calibri"/>
                <w:sz w:val="20"/>
              </w:rPr>
              <w:t>Open Source / Startup</w:t>
            </w:r>
          </w:p>
        </w:tc>
        <w:tc>
          <w:tcPr>
            <w:tcW w:type="dxa" w:w="1440"/>
          </w:tcPr>
          <w:p>
            <w:r>
              <w:rPr>
                <w:rFonts w:ascii="Calibri" w:hAnsi="Calibri"/>
                <w:sz w:val="20"/>
              </w:rPr>
              <w:t>Full O2C (end-to-end)</w:t>
            </w:r>
          </w:p>
        </w:tc>
        <w:tc>
          <w:tcPr>
            <w:tcW w:type="dxa" w:w="1440"/>
          </w:tcPr>
          <w:p>
            <w:r>
              <w:rPr>
                <w:rFonts w:ascii="Calibri" w:hAnsi="Calibri"/>
                <w:sz w:val="20"/>
              </w:rPr>
              <w:t>High (multi-agent)</w:t>
            </w:r>
          </w:p>
        </w:tc>
        <w:tc>
          <w:tcPr>
            <w:tcW w:type="dxa" w:w="1440"/>
          </w:tcPr>
          <w:p>
            <w:r>
              <w:rPr>
                <w:rFonts w:ascii="Calibri" w:hAnsi="Calibri"/>
                <w:sz w:val="20"/>
              </w:rPr>
              <w:t>MCP-native</w:t>
            </w:r>
          </w:p>
        </w:tc>
        <w:tc>
          <w:tcPr>
            <w:tcW w:type="dxa" w:w="1440"/>
          </w:tcPr>
          <w:p>
            <w:r>
              <w:rPr>
                <w:rFonts w:ascii="Calibri" w:hAnsi="Calibri"/>
                <w:sz w:val="20"/>
              </w:rPr>
              <w:t>Open source / TBD</w:t>
            </w:r>
          </w:p>
        </w:tc>
      </w:tr>
    </w:tbl>
    <w:p/>
    <w:p>
      <w:pPr>
        <w:pStyle w:val="Heading2"/>
      </w:pPr>
      <w:r>
        <w:t>Competitive Dynamics</w:t>
      </w:r>
    </w:p>
    <w:p>
      <w:r>
        <w:t>The competitive landscape reveals three distinct strategic groups:</w:t>
      </w:r>
    </w:p>
    <w:p>
      <w:pPr>
        <w:pStyle w:val="ListBullet"/>
      </w:pPr>
      <w:r>
        <w:rPr>
          <w:rFonts w:ascii="Calibri" w:hAnsi="Calibri"/>
          <w:b/>
          <w:sz w:val="22"/>
        </w:rPr>
        <w:t xml:space="preserve">Platform Players (SAP, Microsoft, Oracle): </w:t>
      </w:r>
      <w:r>
        <w:rPr>
          <w:rFonts w:ascii="Calibri" w:hAnsi="Calibri"/>
          <w:sz w:val="22"/>
        </w:rPr>
        <w:t>Building AI capabilities into their ERP platforms. SAP's Joule with 2,500+ skills and 40+ agents represents the biggest competitive threat but also the largest partnership opportunity. These players focus on breadth over depth in any single process area.</w:t>
      </w:r>
    </w:p>
    <w:p>
      <w:pPr>
        <w:pStyle w:val="ListBullet"/>
      </w:pPr>
      <w:r>
        <w:rPr>
          <w:rFonts w:ascii="Calibri" w:hAnsi="Calibri"/>
          <w:b/>
          <w:sz w:val="22"/>
        </w:rPr>
        <w:t xml:space="preserve">Horizontal Automation (UiPath, Automation Anywhere, Celonis): </w:t>
      </w:r>
      <w:r>
        <w:rPr>
          <w:rFonts w:ascii="Calibri" w:hAnsi="Calibri"/>
          <w:sz w:val="22"/>
        </w:rPr>
        <w:t>Pivoting from RPA/process mining to agentic AI. Strong distribution and customer relationships but lack SAP O2C domain depth. UiPath's Maestro orchestration layer is the most architecturally ambitious response. Combined revenue exceeds $3B but growth is slowing.</w:t>
      </w:r>
    </w:p>
    <w:p>
      <w:pPr>
        <w:pStyle w:val="ListBullet"/>
      </w:pPr>
      <w:r>
        <w:rPr>
          <w:rFonts w:ascii="Calibri" w:hAnsi="Calibri"/>
          <w:b/>
          <w:sz w:val="22"/>
        </w:rPr>
        <w:t xml:space="preserve">Vertical Specialists (HighRadius, BlackLine, Billtrust, Gaviti): </w:t>
      </w:r>
      <w:r>
        <w:rPr>
          <w:rFonts w:ascii="Calibri" w:hAnsi="Calibri"/>
          <w:sz w:val="22"/>
        </w:rPr>
        <w:t>Deep domain expertise in specific O2C sub-processes. HighRadius leads with $3.1B valuation and 1,100+ customers. Gap: none covers the full O2C lifecycle with multi-agent AI architecture.</w:t>
      </w:r>
    </w:p>
    <w:p>
      <w:pPr>
        <w:pStyle w:val="Heading2"/>
      </w:pPr>
      <w:r>
        <w:t>White Space Opportunity</w:t>
      </w:r>
    </w:p>
    <w:p>
      <w:r>
        <w:t>The analysis reveals a clear white space: no existing player offers a full-lifecycle, multi-agent, MCP-native SAP O2C automation solution built on open-source foundations. The SAP-O2C-Automation repository occupies this white space, combining:</w:t>
      </w:r>
    </w:p>
    <w:p>
      <w:pPr>
        <w:pStyle w:val="ListBullet"/>
      </w:pPr>
      <w:r>
        <w:rPr>
          <w:rFonts w:ascii="Calibri" w:hAnsi="Calibri"/>
          <w:b/>
          <w:sz w:val="22"/>
        </w:rPr>
        <w:t xml:space="preserve">End-to-end O2C coverage: </w:t>
      </w:r>
      <w:r>
        <w:rPr>
          <w:rFonts w:ascii="Calibri" w:hAnsi="Calibri"/>
          <w:sz w:val="22"/>
        </w:rPr>
        <w:t>From order entry through cash application (not just AR)</w:t>
      </w:r>
    </w:p>
    <w:p>
      <w:pPr>
        <w:pStyle w:val="ListBullet"/>
      </w:pPr>
      <w:r>
        <w:rPr>
          <w:rFonts w:ascii="Calibri" w:hAnsi="Calibri"/>
          <w:b/>
          <w:sz w:val="22"/>
        </w:rPr>
        <w:t xml:space="preserve">Modern multi-agent architecture: </w:t>
      </w:r>
      <w:r>
        <w:rPr>
          <w:rFonts w:ascii="Calibri" w:hAnsi="Calibri"/>
          <w:sz w:val="22"/>
        </w:rPr>
        <w:t>Google ADK coordinator/dispatcher pattern</w:t>
      </w:r>
    </w:p>
    <w:p>
      <w:pPr>
        <w:pStyle w:val="ListBullet"/>
      </w:pPr>
      <w:r>
        <w:rPr>
          <w:rFonts w:ascii="Calibri" w:hAnsi="Calibri"/>
          <w:b/>
          <w:sz w:val="22"/>
        </w:rPr>
        <w:t xml:space="preserve">Standard protocol integration: </w:t>
      </w:r>
      <w:r>
        <w:rPr>
          <w:rFonts w:ascii="Calibri" w:hAnsi="Calibri"/>
          <w:sz w:val="22"/>
        </w:rPr>
        <w:t>MCP for SAP OData, A2A for agent collaboration</w:t>
      </w:r>
    </w:p>
    <w:p>
      <w:pPr>
        <w:pStyle w:val="ListBullet"/>
      </w:pPr>
      <w:r>
        <w:rPr>
          <w:rFonts w:ascii="Calibri" w:hAnsi="Calibri"/>
          <w:b/>
          <w:sz w:val="22"/>
        </w:rPr>
        <w:t xml:space="preserve">Zero-cost entry point: </w:t>
      </w:r>
      <w:r>
        <w:rPr>
          <w:rFonts w:ascii="Calibri" w:hAnsi="Calibri"/>
          <w:sz w:val="22"/>
        </w:rPr>
        <w:t>Free-tier Gemini, open-source ADK, GitHub Codespaces</w:t>
      </w:r>
    </w:p>
    <w:p>
      <w:r>
        <w:br w:type="page"/>
      </w:r>
    </w:p>
    <w:p>
      <w:pPr>
        <w:pStyle w:val="Heading1"/>
      </w:pPr>
      <w:r>
        <w:t>12. SAP-O2C-Automation Repository Analysis</w:t>
      </w:r>
    </w:p>
    <w:p>
      <w:pPr>
        <w:pStyle w:val="Heading2"/>
      </w:pPr>
      <w:r>
        <w:t>Architecture Overview</w:t>
      </w:r>
    </w:p>
    <w:p>
      <w:r>
        <w:t>The SAP-O2C-Automation repository (github.com/shekerkamma/SAP-O2C-Automation) demonstrates a production-ready architecture for multi-agent SAP O2C automation: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Layer</w:t>
            </w:r>
          </w:p>
        </w:tc>
        <w:tc>
          <w:tcPr>
            <w:tcW w:type="dxa" w:w="2160"/>
          </w:tcPr>
          <w:p>
            <w:r>
              <w:rPr>
                <w:rFonts w:ascii="Calibri" w:hAnsi="Calibri"/>
                <w:b/>
                <w:sz w:val="20"/>
              </w:rPr>
              <w:t>Technology</w:t>
            </w:r>
          </w:p>
        </w:tc>
        <w:tc>
          <w:tcPr>
            <w:tcW w:type="dxa" w:w="2160"/>
          </w:tcPr>
          <w:p>
            <w:r>
              <w:rPr>
                <w:rFonts w:ascii="Calibri" w:hAnsi="Calibri"/>
                <w:b/>
                <w:sz w:val="20"/>
              </w:rPr>
              <w:t>Purpose</w:t>
            </w:r>
          </w:p>
        </w:tc>
        <w:tc>
          <w:tcPr>
            <w:tcW w:type="dxa" w:w="2160"/>
          </w:tcPr>
          <w:p>
            <w:r>
              <w:rPr>
                <w:rFonts w:ascii="Calibri" w:hAnsi="Calibri"/>
                <w:b/>
                <w:sz w:val="20"/>
              </w:rPr>
              <w:t>Production Readiness</w:t>
            </w:r>
          </w:p>
        </w:tc>
      </w:tr>
      <w:tr>
        <w:tc>
          <w:tcPr>
            <w:tcW w:type="dxa" w:w="2160"/>
          </w:tcPr>
          <w:p>
            <w:r>
              <w:rPr>
                <w:rFonts w:ascii="Calibri" w:hAnsi="Calibri"/>
                <w:sz w:val="20"/>
              </w:rPr>
              <w:t>AI/LLM</w:t>
            </w:r>
          </w:p>
        </w:tc>
        <w:tc>
          <w:tcPr>
            <w:tcW w:type="dxa" w:w="2160"/>
          </w:tcPr>
          <w:p>
            <w:r>
              <w:rPr>
                <w:rFonts w:ascii="Calibri" w:hAnsi="Calibri"/>
                <w:sz w:val="20"/>
              </w:rPr>
              <w:t>Google Gemini (free tier via AI Studio)</w:t>
            </w:r>
          </w:p>
        </w:tc>
        <w:tc>
          <w:tcPr>
            <w:tcW w:type="dxa" w:w="2160"/>
          </w:tcPr>
          <w:p>
            <w:r>
              <w:rPr>
                <w:rFonts w:ascii="Calibri" w:hAnsi="Calibri"/>
                <w:sz w:val="20"/>
              </w:rPr>
              <w:t>Natural language reasoning, task decomposition</w:t>
            </w:r>
          </w:p>
        </w:tc>
        <w:tc>
          <w:tcPr>
            <w:tcW w:type="dxa" w:w="2160"/>
          </w:tcPr>
          <w:p>
            <w:r>
              <w:rPr>
                <w:rFonts w:ascii="Calibri" w:hAnsi="Calibri"/>
                <w:sz w:val="20"/>
              </w:rPr>
              <w:t>MVP (upgrade to Pro for production)</w:t>
            </w:r>
          </w:p>
        </w:tc>
      </w:tr>
      <w:tr>
        <w:tc>
          <w:tcPr>
            <w:tcW w:type="dxa" w:w="2160"/>
          </w:tcPr>
          <w:p>
            <w:r>
              <w:rPr>
                <w:rFonts w:ascii="Calibri" w:hAnsi="Calibri"/>
                <w:sz w:val="20"/>
              </w:rPr>
              <w:t>Agent Framework</w:t>
            </w:r>
          </w:p>
        </w:tc>
        <w:tc>
          <w:tcPr>
            <w:tcW w:type="dxa" w:w="2160"/>
          </w:tcPr>
          <w:p>
            <w:r>
              <w:rPr>
                <w:rFonts w:ascii="Calibri" w:hAnsi="Calibri"/>
                <w:sz w:val="20"/>
              </w:rPr>
              <w:t>Google Agent Development Kit (ADK)</w:t>
            </w:r>
          </w:p>
        </w:tc>
        <w:tc>
          <w:tcPr>
            <w:tcW w:type="dxa" w:w="2160"/>
          </w:tcPr>
          <w:p>
            <w:r>
              <w:rPr>
                <w:rFonts w:ascii="Calibri" w:hAnsi="Calibri"/>
                <w:sz w:val="20"/>
              </w:rPr>
              <w:t>Multi-agent coordination, routing</w:t>
            </w:r>
          </w:p>
        </w:tc>
        <w:tc>
          <w:tcPr>
            <w:tcW w:type="dxa" w:w="2160"/>
          </w:tcPr>
          <w:p>
            <w:r>
              <w:rPr>
                <w:rFonts w:ascii="Calibri" w:hAnsi="Calibri"/>
                <w:sz w:val="20"/>
              </w:rPr>
              <w:t>Production-ready (open-source, enterprise-backed)</w:t>
            </w:r>
          </w:p>
        </w:tc>
      </w:tr>
      <w:tr>
        <w:tc>
          <w:tcPr>
            <w:tcW w:type="dxa" w:w="2160"/>
          </w:tcPr>
          <w:p>
            <w:r>
              <w:rPr>
                <w:rFonts w:ascii="Calibri" w:hAnsi="Calibri"/>
                <w:sz w:val="20"/>
              </w:rPr>
              <w:t>Integration Protocol</w:t>
            </w:r>
          </w:p>
        </w:tc>
        <w:tc>
          <w:tcPr>
            <w:tcW w:type="dxa" w:w="2160"/>
          </w:tcPr>
          <w:p>
            <w:r>
              <w:rPr>
                <w:rFonts w:ascii="Calibri" w:hAnsi="Calibri"/>
                <w:sz w:val="20"/>
              </w:rPr>
              <w:t>Model Context Protocol (MCP)</w:t>
            </w:r>
          </w:p>
        </w:tc>
        <w:tc>
          <w:tcPr>
            <w:tcW w:type="dxa" w:w="2160"/>
          </w:tcPr>
          <w:p>
            <w:r>
              <w:rPr>
                <w:rFonts w:ascii="Calibri" w:hAnsi="Calibri"/>
                <w:sz w:val="20"/>
              </w:rPr>
              <w:t>SAP OData API exposure as agent tools</w:t>
            </w:r>
          </w:p>
        </w:tc>
        <w:tc>
          <w:tcPr>
            <w:tcW w:type="dxa" w:w="2160"/>
          </w:tcPr>
          <w:p>
            <w:r>
              <w:rPr>
                <w:rFonts w:ascii="Calibri" w:hAnsi="Calibri"/>
                <w:sz w:val="20"/>
              </w:rPr>
              <w:t>Production-ready (industry standard)</w:t>
            </w:r>
          </w:p>
        </w:tc>
      </w:tr>
      <w:tr>
        <w:tc>
          <w:tcPr>
            <w:tcW w:type="dxa" w:w="2160"/>
          </w:tcPr>
          <w:p>
            <w:r>
              <w:rPr>
                <w:rFonts w:ascii="Calibri" w:hAnsi="Calibri"/>
                <w:sz w:val="20"/>
              </w:rPr>
              <w:t>MCP Server</w:t>
            </w:r>
          </w:p>
        </w:tc>
        <w:tc>
          <w:tcPr>
            <w:tcW w:type="dxa" w:w="2160"/>
          </w:tcPr>
          <w:p>
            <w:r>
              <w:rPr>
                <w:rFonts w:ascii="Calibri" w:hAnsi="Calibri"/>
                <w:sz w:val="20"/>
              </w:rPr>
              <w:t>TypeScript/Node.js</w:t>
            </w:r>
          </w:p>
        </w:tc>
        <w:tc>
          <w:tcPr>
            <w:tcW w:type="dxa" w:w="2160"/>
          </w:tcPr>
          <w:p>
            <w:r>
              <w:rPr>
                <w:rFonts w:ascii="Calibri" w:hAnsi="Calibri"/>
                <w:sz w:val="20"/>
              </w:rPr>
              <w:t>SAP entity exposure (sales orders, deliveries, etc.)</w:t>
            </w:r>
          </w:p>
        </w:tc>
        <w:tc>
          <w:tcPr>
            <w:tcW w:type="dxa" w:w="2160"/>
          </w:tcPr>
          <w:p>
            <w:r>
              <w:rPr>
                <w:rFonts w:ascii="Calibri" w:hAnsi="Calibri"/>
                <w:sz w:val="20"/>
              </w:rPr>
              <w:t>MVP (mock + real SAP modes)</w:t>
            </w:r>
          </w:p>
        </w:tc>
      </w:tr>
      <w:tr>
        <w:tc>
          <w:tcPr>
            <w:tcW w:type="dxa" w:w="2160"/>
          </w:tcPr>
          <w:p>
            <w:r>
              <w:rPr>
                <w:rFonts w:ascii="Calibri" w:hAnsi="Calibri"/>
                <w:sz w:val="20"/>
              </w:rPr>
              <w:t>Agent Logic</w:t>
            </w:r>
          </w:p>
        </w:tc>
        <w:tc>
          <w:tcPr>
            <w:tcW w:type="dxa" w:w="2160"/>
          </w:tcPr>
          <w:p>
            <w:r>
              <w:rPr>
                <w:rFonts w:ascii="Calibri" w:hAnsi="Calibri"/>
                <w:sz w:val="20"/>
              </w:rPr>
              <w:t>Python (80.2% of codebase)</w:t>
            </w:r>
          </w:p>
        </w:tc>
        <w:tc>
          <w:tcPr>
            <w:tcW w:type="dxa" w:w="2160"/>
          </w:tcPr>
          <w:p>
            <w:r>
              <w:rPr>
                <w:rFonts w:ascii="Calibri" w:hAnsi="Calibri"/>
                <w:sz w:val="20"/>
              </w:rPr>
              <w:t>Business logic, sub-agent specialization</w:t>
            </w:r>
          </w:p>
        </w:tc>
        <w:tc>
          <w:tcPr>
            <w:tcW w:type="dxa" w:w="2160"/>
          </w:tcPr>
          <w:p>
            <w:r>
              <w:rPr>
                <w:rFonts w:ascii="Calibri" w:hAnsi="Calibri"/>
                <w:sz w:val="20"/>
              </w:rPr>
              <w:t>MVP (needs hardening)</w:t>
            </w:r>
          </w:p>
        </w:tc>
      </w:tr>
      <w:tr>
        <w:tc>
          <w:tcPr>
            <w:tcW w:type="dxa" w:w="2160"/>
          </w:tcPr>
          <w:p>
            <w:r>
              <w:rPr>
                <w:rFonts w:ascii="Calibri" w:hAnsi="Calibri"/>
                <w:sz w:val="20"/>
              </w:rPr>
              <w:t>Authentication</w:t>
            </w:r>
          </w:p>
        </w:tc>
        <w:tc>
          <w:tcPr>
            <w:tcW w:type="dxa" w:w="2160"/>
          </w:tcPr>
          <w:p>
            <w:r>
              <w:rPr>
                <w:rFonts w:ascii="Calibri" w:hAnsi="Calibri"/>
                <w:sz w:val="20"/>
              </w:rPr>
              <w:t>SAP BTP API Management</w:t>
            </w:r>
          </w:p>
        </w:tc>
        <w:tc>
          <w:tcPr>
            <w:tcW w:type="dxa" w:w="2160"/>
          </w:tcPr>
          <w:p>
            <w:r>
              <w:rPr>
                <w:rFonts w:ascii="Calibri" w:hAnsi="Calibri"/>
                <w:sz w:val="20"/>
              </w:rPr>
              <w:t>Centralized credential management</w:t>
            </w:r>
          </w:p>
        </w:tc>
        <w:tc>
          <w:tcPr>
            <w:tcW w:type="dxa" w:w="2160"/>
          </w:tcPr>
          <w:p>
            <w:r>
              <w:rPr>
                <w:rFonts w:ascii="Calibri" w:hAnsi="Calibri"/>
                <w:sz w:val="20"/>
              </w:rPr>
              <w:t>Production-ready pattern</w:t>
            </w:r>
          </w:p>
        </w:tc>
      </w:tr>
      <w:tr>
        <w:tc>
          <w:tcPr>
            <w:tcW w:type="dxa" w:w="2160"/>
          </w:tcPr>
          <w:p>
            <w:r>
              <w:rPr>
                <w:rFonts w:ascii="Calibri" w:hAnsi="Calibri"/>
                <w:sz w:val="20"/>
              </w:rPr>
              <w:t>Development</w:t>
            </w:r>
          </w:p>
        </w:tc>
        <w:tc>
          <w:tcPr>
            <w:tcW w:type="dxa" w:w="2160"/>
          </w:tcPr>
          <w:p>
            <w:r>
              <w:rPr>
                <w:rFonts w:ascii="Calibri" w:hAnsi="Calibri"/>
                <w:sz w:val="20"/>
              </w:rPr>
              <w:t>GitHub Codespaces / Dev Container</w:t>
            </w:r>
          </w:p>
        </w:tc>
        <w:tc>
          <w:tcPr>
            <w:tcW w:type="dxa" w:w="2160"/>
          </w:tcPr>
          <w:p>
            <w:r>
              <w:rPr>
                <w:rFonts w:ascii="Calibri" w:hAnsi="Calibri"/>
                <w:sz w:val="20"/>
              </w:rPr>
              <w:t>One-click setup, 3-minute quickstart</w:t>
            </w:r>
          </w:p>
        </w:tc>
        <w:tc>
          <w:tcPr>
            <w:tcW w:type="dxa" w:w="2160"/>
          </w:tcPr>
          <w:p>
            <w:r>
              <w:rPr>
                <w:rFonts w:ascii="Calibri" w:hAnsi="Calibri"/>
                <w:sz w:val="20"/>
              </w:rPr>
              <w:t>Developer-ready</w:t>
            </w:r>
          </w:p>
        </w:tc>
      </w:tr>
    </w:tbl>
    <w:p/>
    <w:p>
      <w:pPr>
        <w:pStyle w:val="Heading2"/>
      </w:pPr>
      <w:r>
        <w:t>Agent Architecture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Agent</w:t>
            </w:r>
          </w:p>
        </w:tc>
        <w:tc>
          <w:tcPr>
            <w:tcW w:type="dxa" w:w="2160"/>
          </w:tcPr>
          <w:p>
            <w:r>
              <w:rPr>
                <w:rFonts w:ascii="Calibri" w:hAnsi="Calibri"/>
                <w:b/>
                <w:sz w:val="20"/>
              </w:rPr>
              <w:t>Role</w:t>
            </w:r>
          </w:p>
        </w:tc>
        <w:tc>
          <w:tcPr>
            <w:tcW w:type="dxa" w:w="2160"/>
          </w:tcPr>
          <w:p>
            <w:r>
              <w:rPr>
                <w:rFonts w:ascii="Calibri" w:hAnsi="Calibri"/>
                <w:b/>
                <w:sz w:val="20"/>
              </w:rPr>
              <w:t>SAP Entities Covered</w:t>
            </w:r>
          </w:p>
        </w:tc>
        <w:tc>
          <w:tcPr>
            <w:tcW w:type="dxa" w:w="2160"/>
          </w:tcPr>
          <w:p>
            <w:r>
              <w:rPr>
                <w:rFonts w:ascii="Calibri" w:hAnsi="Calibri"/>
                <w:b/>
                <w:sz w:val="20"/>
              </w:rPr>
              <w:t>Automation Level</w:t>
            </w:r>
          </w:p>
        </w:tc>
      </w:tr>
      <w:tr>
        <w:tc>
          <w:tcPr>
            <w:tcW w:type="dxa" w:w="2160"/>
          </w:tcPr>
          <w:p>
            <w:r>
              <w:rPr>
                <w:rFonts w:ascii="Calibri" w:hAnsi="Calibri"/>
                <w:sz w:val="20"/>
              </w:rPr>
              <w:t>Root Coordinator</w:t>
            </w:r>
          </w:p>
        </w:tc>
        <w:tc>
          <w:tcPr>
            <w:tcW w:type="dxa" w:w="2160"/>
          </w:tcPr>
          <w:p>
            <w:r>
              <w:rPr>
                <w:rFonts w:ascii="Calibri" w:hAnsi="Calibri"/>
                <w:sz w:val="20"/>
              </w:rPr>
              <w:t>Request routing, task decomposition</w:t>
            </w:r>
          </w:p>
        </w:tc>
        <w:tc>
          <w:tcPr>
            <w:tcW w:type="dxa" w:w="2160"/>
          </w:tcPr>
          <w:p>
            <w:r>
              <w:rPr>
                <w:rFonts w:ascii="Calibri" w:hAnsi="Calibri"/>
                <w:sz w:val="20"/>
              </w:rPr>
              <w:t>All (via delegation)</w:t>
            </w:r>
          </w:p>
        </w:tc>
        <w:tc>
          <w:tcPr>
            <w:tcW w:type="dxa" w:w="2160"/>
          </w:tcPr>
          <w:p>
            <w:r>
              <w:rPr>
                <w:rFonts w:ascii="Calibri" w:hAnsi="Calibri"/>
                <w:sz w:val="20"/>
              </w:rPr>
              <w:t>Orchestration</w:t>
            </w:r>
          </w:p>
        </w:tc>
      </w:tr>
      <w:tr>
        <w:tc>
          <w:tcPr>
            <w:tcW w:type="dxa" w:w="2160"/>
          </w:tcPr>
          <w:p>
            <w:r>
              <w:rPr>
                <w:rFonts w:ascii="Calibri" w:hAnsi="Calibri"/>
                <w:sz w:val="20"/>
              </w:rPr>
              <w:t>Product Data Agent</w:t>
            </w:r>
          </w:p>
        </w:tc>
        <w:tc>
          <w:tcPr>
            <w:tcW w:type="dxa" w:w="2160"/>
          </w:tcPr>
          <w:p>
            <w:r>
              <w:rPr>
                <w:rFonts w:ascii="Calibri" w:hAnsi="Calibri"/>
                <w:sz w:val="20"/>
              </w:rPr>
              <w:t>Product master queries, catalog search</w:t>
            </w:r>
          </w:p>
        </w:tc>
        <w:tc>
          <w:tcPr>
            <w:tcW w:type="dxa" w:w="2160"/>
          </w:tcPr>
          <w:p>
            <w:r>
              <w:rPr>
                <w:rFonts w:ascii="Calibri" w:hAnsi="Calibri"/>
                <w:sz w:val="20"/>
              </w:rPr>
              <w:t>A_Product, A_ProductDescription</w:t>
            </w:r>
          </w:p>
        </w:tc>
        <w:tc>
          <w:tcPr>
            <w:tcW w:type="dxa" w:w="2160"/>
          </w:tcPr>
          <w:p>
            <w:r>
              <w:rPr>
                <w:rFonts w:ascii="Calibri" w:hAnsi="Calibri"/>
                <w:sz w:val="20"/>
              </w:rPr>
              <w:t>Full automation</w:t>
            </w:r>
          </w:p>
        </w:tc>
      </w:tr>
      <w:tr>
        <w:tc>
          <w:tcPr>
            <w:tcW w:type="dxa" w:w="2160"/>
          </w:tcPr>
          <w:p>
            <w:r>
              <w:rPr>
                <w:rFonts w:ascii="Calibri" w:hAnsi="Calibri"/>
                <w:sz w:val="20"/>
              </w:rPr>
              <w:t>Inventory Agent</w:t>
            </w:r>
          </w:p>
        </w:tc>
        <w:tc>
          <w:tcPr>
            <w:tcW w:type="dxa" w:w="2160"/>
          </w:tcPr>
          <w:p>
            <w:r>
              <w:rPr>
                <w:rFonts w:ascii="Calibri" w:hAnsi="Calibri"/>
                <w:sz w:val="20"/>
              </w:rPr>
              <w:t>Stock availability, ATP checks</w:t>
            </w:r>
          </w:p>
        </w:tc>
        <w:tc>
          <w:tcPr>
            <w:tcW w:type="dxa" w:w="2160"/>
          </w:tcPr>
          <w:p>
            <w:r>
              <w:rPr>
                <w:rFonts w:ascii="Calibri" w:hAnsi="Calibri"/>
                <w:sz w:val="20"/>
              </w:rPr>
              <w:t>A_MaterialStock, warehouse data</w:t>
            </w:r>
          </w:p>
        </w:tc>
        <w:tc>
          <w:tcPr>
            <w:tcW w:type="dxa" w:w="2160"/>
          </w:tcPr>
          <w:p>
            <w:r>
              <w:rPr>
                <w:rFonts w:ascii="Calibri" w:hAnsi="Calibri"/>
                <w:sz w:val="20"/>
              </w:rPr>
              <w:t>Full automation</w:t>
            </w:r>
          </w:p>
        </w:tc>
      </w:tr>
      <w:tr>
        <w:tc>
          <w:tcPr>
            <w:tcW w:type="dxa" w:w="2160"/>
          </w:tcPr>
          <w:p>
            <w:r>
              <w:rPr>
                <w:rFonts w:ascii="Calibri" w:hAnsi="Calibri"/>
                <w:sz w:val="20"/>
              </w:rPr>
              <w:t>Sales Order Agent</w:t>
            </w:r>
          </w:p>
        </w:tc>
        <w:tc>
          <w:tcPr>
            <w:tcW w:type="dxa" w:w="2160"/>
          </w:tcPr>
          <w:p>
            <w:r>
              <w:rPr>
                <w:rFonts w:ascii="Calibri" w:hAnsi="Calibri"/>
                <w:sz w:val="20"/>
              </w:rPr>
              <w:t>Order creation, modification, status</w:t>
            </w:r>
          </w:p>
        </w:tc>
        <w:tc>
          <w:tcPr>
            <w:tcW w:type="dxa" w:w="2160"/>
          </w:tcPr>
          <w:p>
            <w:r>
              <w:rPr>
                <w:rFonts w:ascii="Calibri" w:hAnsi="Calibri"/>
                <w:sz w:val="20"/>
              </w:rPr>
              <w:t>A_SalesOrder, A_SalesOrderItem</w:t>
            </w:r>
          </w:p>
        </w:tc>
        <w:tc>
          <w:tcPr>
            <w:tcW w:type="dxa" w:w="2160"/>
          </w:tcPr>
          <w:p>
            <w:r>
              <w:rPr>
                <w:rFonts w:ascii="Calibri" w:hAnsi="Calibri"/>
                <w:sz w:val="20"/>
              </w:rPr>
              <w:t>Semi-automated (approval gates)</w:t>
            </w:r>
          </w:p>
        </w:tc>
      </w:tr>
      <w:tr>
        <w:tc>
          <w:tcPr>
            <w:tcW w:type="dxa" w:w="2160"/>
          </w:tcPr>
          <w:p>
            <w:r>
              <w:rPr>
                <w:rFonts w:ascii="Calibri" w:hAnsi="Calibri"/>
                <w:sz w:val="20"/>
              </w:rPr>
              <w:t>Delivery Agent</w:t>
            </w:r>
          </w:p>
        </w:tc>
        <w:tc>
          <w:tcPr>
            <w:tcW w:type="dxa" w:w="2160"/>
          </w:tcPr>
          <w:p>
            <w:r>
              <w:rPr>
                <w:rFonts w:ascii="Calibri" w:hAnsi="Calibri"/>
                <w:sz w:val="20"/>
              </w:rPr>
              <w:t>Outbound delivery processing</w:t>
            </w:r>
          </w:p>
        </w:tc>
        <w:tc>
          <w:tcPr>
            <w:tcW w:type="dxa" w:w="2160"/>
          </w:tcPr>
          <w:p>
            <w:r>
              <w:rPr>
                <w:rFonts w:ascii="Calibri" w:hAnsi="Calibri"/>
                <w:sz w:val="20"/>
              </w:rPr>
              <w:t>A_OutboundDeliveryHeader/Item</w:t>
            </w:r>
          </w:p>
        </w:tc>
        <w:tc>
          <w:tcPr>
            <w:tcW w:type="dxa" w:w="2160"/>
          </w:tcPr>
          <w:p>
            <w:r>
              <w:rPr>
                <w:rFonts w:ascii="Calibri" w:hAnsi="Calibri"/>
                <w:sz w:val="20"/>
              </w:rPr>
              <w:t>Semi-automated</w:t>
            </w:r>
          </w:p>
        </w:tc>
      </w:tr>
      <w:tr>
        <w:tc>
          <w:tcPr>
            <w:tcW w:type="dxa" w:w="2160"/>
          </w:tcPr>
          <w:p>
            <w:r>
              <w:rPr>
                <w:rFonts w:ascii="Calibri" w:hAnsi="Calibri"/>
                <w:sz w:val="20"/>
              </w:rPr>
              <w:t>Analytics Agent</w:t>
            </w:r>
          </w:p>
        </w:tc>
        <w:tc>
          <w:tcPr>
            <w:tcW w:type="dxa" w:w="2160"/>
          </w:tcPr>
          <w:p>
            <w:r>
              <w:rPr>
                <w:rFonts w:ascii="Calibri" w:hAnsi="Calibri"/>
                <w:sz w:val="20"/>
              </w:rPr>
              <w:t>Cross-entity reporting, insights</w:t>
            </w:r>
          </w:p>
        </w:tc>
        <w:tc>
          <w:tcPr>
            <w:tcW w:type="dxa" w:w="2160"/>
          </w:tcPr>
          <w:p>
            <w:r>
              <w:rPr>
                <w:rFonts w:ascii="Calibri" w:hAnsi="Calibri"/>
                <w:sz w:val="20"/>
              </w:rPr>
              <w:t>All entities (read-only)</w:t>
            </w:r>
          </w:p>
        </w:tc>
        <w:tc>
          <w:tcPr>
            <w:tcW w:type="dxa" w:w="2160"/>
          </w:tcPr>
          <w:p>
            <w:r>
              <w:rPr>
                <w:rFonts w:ascii="Calibri" w:hAnsi="Calibri"/>
                <w:sz w:val="20"/>
              </w:rPr>
              <w:t>Full automation</w:t>
            </w:r>
          </w:p>
        </w:tc>
      </w:tr>
    </w:tbl>
    <w:p/>
    <w:p>
      <w:pPr>
        <w:pStyle w:val="Heading2"/>
      </w:pPr>
      <w:r>
        <w:t>Key Innovation: "17 Flows to 4 Classes"</w:t>
      </w:r>
    </w:p>
    <w:p>
      <w:r>
        <w:t>The repository documents a concrete migration from 17 Microsoft Power Automate flows to 4 Python classes, demonstrating:</w:t>
      </w:r>
    </w:p>
    <w:p>
      <w:pPr>
        <w:pStyle w:val="ListBullet"/>
      </w:pPr>
      <w:r>
        <w:rPr>
          <w:rFonts w:ascii="Calibri" w:hAnsi="Calibri"/>
          <w:b/>
          <w:sz w:val="22"/>
        </w:rPr>
        <w:t xml:space="preserve">4x reduction in automation components: </w:t>
      </w:r>
      <w:r>
        <w:rPr>
          <w:rFonts w:ascii="Calibri" w:hAnsi="Calibri"/>
          <w:sz w:val="22"/>
        </w:rPr>
        <w:t>Simpler maintenance and debugging</w:t>
      </w:r>
    </w:p>
    <w:p>
      <w:pPr>
        <w:pStyle w:val="ListBullet"/>
      </w:pPr>
      <w:r>
        <w:rPr>
          <w:rFonts w:ascii="Calibri" w:hAnsi="Calibri"/>
          <w:b/>
          <w:sz w:val="22"/>
        </w:rPr>
        <w:t xml:space="preserve">Natural language interface: </w:t>
      </w:r>
      <w:r>
        <w:rPr>
          <w:rFonts w:ascii="Calibri" w:hAnsi="Calibri"/>
          <w:sz w:val="22"/>
        </w:rPr>
        <w:t>Users describe intent instead of navigating SAP transactions</w:t>
      </w:r>
    </w:p>
    <w:p>
      <w:pPr>
        <w:pStyle w:val="ListBullet"/>
      </w:pPr>
      <w:r>
        <w:rPr>
          <w:rFonts w:ascii="Calibri" w:hAnsi="Calibri"/>
          <w:b/>
          <w:sz w:val="22"/>
        </w:rPr>
        <w:t xml:space="preserve">Cross-entity intelligence: </w:t>
      </w:r>
      <w:r>
        <w:rPr>
          <w:rFonts w:ascii="Calibri" w:hAnsi="Calibri"/>
          <w:sz w:val="22"/>
        </w:rPr>
        <w:t>Agents reason across product, inventory, and order data simultaneously</w:t>
      </w:r>
    </w:p>
    <w:p>
      <w:pPr>
        <w:pStyle w:val="ListBullet"/>
      </w:pPr>
      <w:r>
        <w:rPr>
          <w:rFonts w:ascii="Calibri" w:hAnsi="Calibri"/>
          <w:b/>
          <w:sz w:val="22"/>
        </w:rPr>
        <w:t xml:space="preserve">Zero-cost operation: </w:t>
      </w:r>
      <w:r>
        <w:rPr>
          <w:rFonts w:ascii="Calibri" w:hAnsi="Calibri"/>
          <w:sz w:val="22"/>
        </w:rPr>
        <w:t>Free-tier Gemini API, open-source ADK, BTP trial (90 days)</w:t>
      </w:r>
    </w:p>
    <w:p>
      <w:r>
        <w:br w:type="page"/>
      </w:r>
    </w:p>
    <w:p>
      <w:pPr>
        <w:pStyle w:val="Heading1"/>
      </w:pPr>
      <w:r>
        <w:t>13. References &amp; Sources</w:t>
      </w:r>
    </w:p>
    <w:p>
      <w:pPr>
        <w:pStyle w:val="Heading2"/>
      </w:pPr>
      <w:r>
        <w:t>Venture Capital &amp; Investment Theses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Source</w:t>
            </w:r>
          </w:p>
        </w:tc>
        <w:tc>
          <w:tcPr>
            <w:tcW w:type="dxa" w:w="2160"/>
          </w:tcPr>
          <w:p>
            <w:r>
              <w:rPr>
                <w:rFonts w:ascii="Calibri" w:hAnsi="Calibri"/>
                <w:b/>
                <w:sz w:val="20"/>
              </w:rPr>
              <w:t>Title</w:t>
            </w:r>
          </w:p>
        </w:tc>
        <w:tc>
          <w:tcPr>
            <w:tcW w:type="dxa" w:w="2160"/>
          </w:tcPr>
          <w:p>
            <w:r>
              <w:rPr>
                <w:rFonts w:ascii="Calibri" w:hAnsi="Calibri"/>
                <w:b/>
                <w:sz w:val="20"/>
              </w:rPr>
              <w:t>URL</w:t>
            </w:r>
          </w:p>
        </w:tc>
        <w:tc>
          <w:tcPr>
            <w:tcW w:type="dxa" w:w="2160"/>
          </w:tcPr>
          <w:p>
            <w:r>
              <w:rPr>
                <w:rFonts w:ascii="Calibri" w:hAnsi="Calibri"/>
                <w:b/>
                <w:sz w:val="20"/>
              </w:rPr>
              <w:t>Date</w:t>
            </w:r>
          </w:p>
        </w:tc>
      </w:tr>
      <w:tr>
        <w:tc>
          <w:tcPr>
            <w:tcW w:type="dxa" w:w="2160"/>
          </w:tcPr>
          <w:p>
            <w:r>
              <w:rPr>
                <w:rFonts w:ascii="Calibri" w:hAnsi="Calibri"/>
                <w:sz w:val="20"/>
              </w:rPr>
              <w:t>Sequoia Capital</w:t>
            </w:r>
          </w:p>
        </w:tc>
        <w:tc>
          <w:tcPr>
            <w:tcW w:type="dxa" w:w="2160"/>
          </w:tcPr>
          <w:p>
            <w:r>
              <w:rPr>
                <w:rFonts w:ascii="Calibri" w:hAnsi="Calibri"/>
                <w:sz w:val="20"/>
              </w:rPr>
              <w:t>Services: The New Software</w:t>
            </w:r>
          </w:p>
        </w:tc>
        <w:tc>
          <w:tcPr>
            <w:tcW w:type="dxa" w:w="2160"/>
          </w:tcPr>
          <w:p>
            <w:r>
              <w:rPr>
                <w:rFonts w:ascii="Calibri" w:hAnsi="Calibri"/>
                <w:sz w:val="20"/>
              </w:rPr>
              <w:t>https://sequoiacap.com/article/services-the-new-software/</w:t>
            </w:r>
          </w:p>
        </w:tc>
        <w:tc>
          <w:tcPr>
            <w:tcW w:type="dxa" w:w="2160"/>
          </w:tcPr>
          <w:p>
            <w:r>
              <w:rPr>
                <w:rFonts w:ascii="Calibri" w:hAnsi="Calibri"/>
                <w:sz w:val="20"/>
              </w:rPr>
              <w:t>2026</w:t>
            </w:r>
          </w:p>
        </w:tc>
      </w:tr>
      <w:tr>
        <w:tc>
          <w:tcPr>
            <w:tcW w:type="dxa" w:w="2160"/>
          </w:tcPr>
          <w:p>
            <w:r>
              <w:rPr>
                <w:rFonts w:ascii="Calibri" w:hAnsi="Calibri"/>
                <w:sz w:val="20"/>
              </w:rPr>
              <w:t>Emergence Capital</w:t>
            </w:r>
          </w:p>
        </w:tc>
        <w:tc>
          <w:tcPr>
            <w:tcW w:type="dxa" w:w="2160"/>
          </w:tcPr>
          <w:p>
            <w:r>
              <w:rPr>
                <w:rFonts w:ascii="Calibri" w:hAnsi="Calibri"/>
                <w:sz w:val="20"/>
              </w:rPr>
              <w:t>The AI-Native Services Playbook</w:t>
            </w:r>
          </w:p>
        </w:tc>
        <w:tc>
          <w:tcPr>
            <w:tcW w:type="dxa" w:w="2160"/>
          </w:tcPr>
          <w:p>
            <w:r>
              <w:rPr>
                <w:rFonts w:ascii="Calibri" w:hAnsi="Calibri"/>
                <w:sz w:val="20"/>
              </w:rPr>
              <w:t>https://www.emcap.com/thoughts/the-ai-native-services-playbook</w:t>
            </w:r>
          </w:p>
        </w:tc>
        <w:tc>
          <w:tcPr>
            <w:tcW w:type="dxa" w:w="2160"/>
          </w:tcPr>
          <w:p>
            <w:r>
              <w:rPr>
                <w:rFonts w:ascii="Calibri" w:hAnsi="Calibri"/>
                <w:sz w:val="20"/>
              </w:rPr>
              <w:t>2026</w:t>
            </w:r>
          </w:p>
        </w:tc>
      </w:tr>
      <w:tr>
        <w:tc>
          <w:tcPr>
            <w:tcW w:type="dxa" w:w="2160"/>
          </w:tcPr>
          <w:p>
            <w:r>
              <w:rPr>
                <w:rFonts w:ascii="Calibri" w:hAnsi="Calibri"/>
                <w:sz w:val="20"/>
              </w:rPr>
              <w:t>Emergence Capital</w:t>
            </w:r>
          </w:p>
        </w:tc>
        <w:tc>
          <w:tcPr>
            <w:tcW w:type="dxa" w:w="2160"/>
          </w:tcPr>
          <w:p>
            <w:r>
              <w:rPr>
                <w:rFonts w:ascii="Calibri" w:hAnsi="Calibri"/>
                <w:sz w:val="20"/>
              </w:rPr>
              <w:t>AI-Native Services: The Definitive Guide</w:t>
            </w:r>
          </w:p>
        </w:tc>
        <w:tc>
          <w:tcPr>
            <w:tcW w:type="dxa" w:w="2160"/>
          </w:tcPr>
          <w:p>
            <w:r>
              <w:rPr>
                <w:rFonts w:ascii="Calibri" w:hAnsi="Calibri"/>
                <w:sz w:val="20"/>
              </w:rPr>
              <w:t>https://www.emcap.com/ai-native-services</w:t>
            </w:r>
          </w:p>
        </w:tc>
        <w:tc>
          <w:tcPr>
            <w:tcW w:type="dxa" w:w="2160"/>
          </w:tcPr>
          <w:p>
            <w:r>
              <w:rPr>
                <w:rFonts w:ascii="Calibri" w:hAnsi="Calibri"/>
                <w:sz w:val="20"/>
              </w:rPr>
              <w:t>2026</w:t>
            </w:r>
          </w:p>
        </w:tc>
      </w:tr>
      <w:tr>
        <w:tc>
          <w:tcPr>
            <w:tcW w:type="dxa" w:w="2160"/>
          </w:tcPr>
          <w:p>
            <w:r>
              <w:rPr>
                <w:rFonts w:ascii="Calibri" w:hAnsi="Calibri"/>
                <w:sz w:val="20"/>
              </w:rPr>
              <w:t>Andreessen Horowitz</w:t>
            </w:r>
          </w:p>
        </w:tc>
        <w:tc>
          <w:tcPr>
            <w:tcW w:type="dxa" w:w="2160"/>
          </w:tcPr>
          <w:p>
            <w:r>
              <w:rPr>
                <w:rFonts w:ascii="Calibri" w:hAnsi="Calibri"/>
                <w:sz w:val="20"/>
              </w:rPr>
              <w:t>Why the World Still Runs on SAP</w:t>
            </w:r>
          </w:p>
        </w:tc>
        <w:tc>
          <w:tcPr>
            <w:tcW w:type="dxa" w:w="2160"/>
          </w:tcPr>
          <w:p>
            <w:r>
              <w:rPr>
                <w:rFonts w:ascii="Calibri" w:hAnsi="Calibri"/>
                <w:sz w:val="20"/>
              </w:rPr>
              <w:t>https://a16z.com/why-the-world-still-runs-on-sap/</w:t>
            </w:r>
          </w:p>
        </w:tc>
        <w:tc>
          <w:tcPr>
            <w:tcW w:type="dxa" w:w="2160"/>
          </w:tcPr>
          <w:p>
            <w:r>
              <w:rPr>
                <w:rFonts w:ascii="Calibri" w:hAnsi="Calibri"/>
                <w:sz w:val="20"/>
              </w:rPr>
              <w:t>2024</w:t>
            </w:r>
          </w:p>
        </w:tc>
      </w:tr>
      <w:tr>
        <w:tc>
          <w:tcPr>
            <w:tcW w:type="dxa" w:w="2160"/>
          </w:tcPr>
          <w:p>
            <w:r>
              <w:rPr>
                <w:rFonts w:ascii="Calibri" w:hAnsi="Calibri"/>
                <w:sz w:val="20"/>
              </w:rPr>
              <w:t>Andreessen Horowitz</w:t>
            </w:r>
          </w:p>
        </w:tc>
        <w:tc>
          <w:tcPr>
            <w:tcW w:type="dxa" w:w="2160"/>
          </w:tcPr>
          <w:p>
            <w:r>
              <w:rPr>
                <w:rFonts w:ascii="Calibri" w:hAnsi="Calibri"/>
                <w:sz w:val="20"/>
              </w:rPr>
              <w:t>Investing in Tessera Labs</w:t>
            </w:r>
          </w:p>
        </w:tc>
        <w:tc>
          <w:tcPr>
            <w:tcW w:type="dxa" w:w="2160"/>
          </w:tcPr>
          <w:p>
            <w:r>
              <w:rPr>
                <w:rFonts w:ascii="Calibri" w:hAnsi="Calibri"/>
                <w:sz w:val="20"/>
              </w:rPr>
              <w:t>https://a16z.com/announcement/investing-in-tessera-labs/</w:t>
            </w:r>
          </w:p>
        </w:tc>
        <w:tc>
          <w:tcPr>
            <w:tcW w:type="dxa" w:w="2160"/>
          </w:tcPr>
          <w:p>
            <w:r>
              <w:rPr>
                <w:rFonts w:ascii="Calibri" w:hAnsi="Calibri"/>
                <w:sz w:val="20"/>
              </w:rPr>
              <w:t>2026</w:t>
            </w:r>
          </w:p>
        </w:tc>
      </w:tr>
      <w:tr>
        <w:tc>
          <w:tcPr>
            <w:tcW w:type="dxa" w:w="2160"/>
          </w:tcPr>
          <w:p>
            <w:r>
              <w:rPr>
                <w:rFonts w:ascii="Calibri" w:hAnsi="Calibri"/>
                <w:sz w:val="20"/>
              </w:rPr>
              <w:t>Fortune</w:t>
            </w:r>
          </w:p>
        </w:tc>
        <w:tc>
          <w:tcPr>
            <w:tcW w:type="dxa" w:w="2160"/>
          </w:tcPr>
          <w:p>
            <w:r>
              <w:rPr>
                <w:rFonts w:ascii="Calibri" w:hAnsi="Calibri"/>
                <w:sz w:val="20"/>
              </w:rPr>
              <w:t>Sequoia: AI-Enabled Services Are the New Software</w:t>
            </w:r>
          </w:p>
        </w:tc>
        <w:tc>
          <w:tcPr>
            <w:tcW w:type="dxa" w:w="2160"/>
          </w:tcPr>
          <w:p>
            <w:r>
              <w:rPr>
                <w:rFonts w:ascii="Calibri" w:hAnsi="Calibri"/>
                <w:sz w:val="20"/>
              </w:rPr>
              <w:t>https://fortune.com/2026/04/21/services-are-the-new-software-sequoia-venture-capital-julien-bek-ai-native-eye-on-ai/</w:t>
            </w:r>
          </w:p>
        </w:tc>
        <w:tc>
          <w:tcPr>
            <w:tcW w:type="dxa" w:w="2160"/>
          </w:tcPr>
          <w:p>
            <w:r>
              <w:rPr>
                <w:rFonts w:ascii="Calibri" w:hAnsi="Calibri"/>
                <w:sz w:val="20"/>
              </w:rPr>
              <w:t>2026</w:t>
            </w:r>
          </w:p>
        </w:tc>
      </w:tr>
      <w:tr>
        <w:tc>
          <w:tcPr>
            <w:tcW w:type="dxa" w:w="2160"/>
          </w:tcPr>
          <w:p>
            <w:r>
              <w:rPr>
                <w:rFonts w:ascii="Calibri" w:hAnsi="Calibri"/>
                <w:sz w:val="20"/>
              </w:rPr>
              <w:t>VC Cafe</w:t>
            </w:r>
          </w:p>
        </w:tc>
        <w:tc>
          <w:tcPr>
            <w:tcW w:type="dxa" w:w="2160"/>
          </w:tcPr>
          <w:p>
            <w:r>
              <w:rPr>
                <w:rFonts w:ascii="Calibri" w:hAnsi="Calibri"/>
                <w:sz w:val="20"/>
              </w:rPr>
              <w:t>2026 AI Predictions: The Year of the Agent Employee</w:t>
            </w:r>
          </w:p>
        </w:tc>
        <w:tc>
          <w:tcPr>
            <w:tcW w:type="dxa" w:w="2160"/>
          </w:tcPr>
          <w:p>
            <w:r>
              <w:rPr>
                <w:rFonts w:ascii="Calibri" w:hAnsi="Calibri"/>
                <w:sz w:val="20"/>
              </w:rPr>
              <w:t>https://www.vccafe.com/2026/01/08/2026-ai-predictions-the-year-of-the-agent-employee/</w:t>
            </w:r>
          </w:p>
        </w:tc>
        <w:tc>
          <w:tcPr>
            <w:tcW w:type="dxa" w:w="2160"/>
          </w:tcPr>
          <w:p>
            <w:r>
              <w:rPr>
                <w:rFonts w:ascii="Calibri" w:hAnsi="Calibri"/>
                <w:sz w:val="20"/>
              </w:rPr>
              <w:t>2026</w:t>
            </w:r>
          </w:p>
        </w:tc>
      </w:tr>
      <w:tr>
        <w:tc>
          <w:tcPr>
            <w:tcW w:type="dxa" w:w="2160"/>
          </w:tcPr>
          <w:p>
            <w:r>
              <w:rPr>
                <w:rFonts w:ascii="Calibri" w:hAnsi="Calibri"/>
                <w:sz w:val="20"/>
              </w:rPr>
              <w:t>Y Combinator</w:t>
            </w:r>
          </w:p>
        </w:tc>
        <w:tc>
          <w:tcPr>
            <w:tcW w:type="dxa" w:w="2160"/>
          </w:tcPr>
          <w:p>
            <w:r>
              <w:rPr>
                <w:rFonts w:ascii="Calibri" w:hAnsi="Calibri"/>
                <w:sz w:val="20"/>
              </w:rPr>
              <w:t>Requests for Startups</w:t>
            </w:r>
          </w:p>
        </w:tc>
        <w:tc>
          <w:tcPr>
            <w:tcW w:type="dxa" w:w="2160"/>
          </w:tcPr>
          <w:p>
            <w:r>
              <w:rPr>
                <w:rFonts w:ascii="Calibri" w:hAnsi="Calibri"/>
                <w:sz w:val="20"/>
              </w:rPr>
              <w:t>https://www.ycombinator.com/rfs</w:t>
            </w:r>
          </w:p>
        </w:tc>
        <w:tc>
          <w:tcPr>
            <w:tcW w:type="dxa" w:w="2160"/>
          </w:tcPr>
          <w:p>
            <w:r>
              <w:rPr>
                <w:rFonts w:ascii="Calibri" w:hAnsi="Calibri"/>
                <w:sz w:val="20"/>
              </w:rPr>
              <w:t>2026</w:t>
            </w:r>
          </w:p>
        </w:tc>
      </w:tr>
    </w:tbl>
    <w:p/>
    <w:p>
      <w:pPr>
        <w:pStyle w:val="Heading2"/>
      </w:pPr>
      <w:r>
        <w:t>SAP &amp; Enterprise AI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Source</w:t>
            </w:r>
          </w:p>
        </w:tc>
        <w:tc>
          <w:tcPr>
            <w:tcW w:type="dxa" w:w="2160"/>
          </w:tcPr>
          <w:p>
            <w:r>
              <w:rPr>
                <w:rFonts w:ascii="Calibri" w:hAnsi="Calibri"/>
                <w:b/>
                <w:sz w:val="20"/>
              </w:rPr>
              <w:t>Title</w:t>
            </w:r>
          </w:p>
        </w:tc>
        <w:tc>
          <w:tcPr>
            <w:tcW w:type="dxa" w:w="2160"/>
          </w:tcPr>
          <w:p>
            <w:r>
              <w:rPr>
                <w:rFonts w:ascii="Calibri" w:hAnsi="Calibri"/>
                <w:b/>
                <w:sz w:val="20"/>
              </w:rPr>
              <w:t>URL</w:t>
            </w:r>
          </w:p>
        </w:tc>
        <w:tc>
          <w:tcPr>
            <w:tcW w:type="dxa" w:w="2160"/>
          </w:tcPr>
          <w:p>
            <w:r>
              <w:rPr>
                <w:rFonts w:ascii="Calibri" w:hAnsi="Calibri"/>
                <w:b/>
                <w:sz w:val="20"/>
              </w:rPr>
              <w:t>Date</w:t>
            </w:r>
          </w:p>
        </w:tc>
      </w:tr>
      <w:tr>
        <w:tc>
          <w:tcPr>
            <w:tcW w:type="dxa" w:w="2160"/>
          </w:tcPr>
          <w:p>
            <w:r>
              <w:rPr>
                <w:rFonts w:ascii="Calibri" w:hAnsi="Calibri"/>
                <w:sz w:val="20"/>
              </w:rPr>
              <w:t>SAP News Center</w:t>
            </w:r>
          </w:p>
        </w:tc>
        <w:tc>
          <w:tcPr>
            <w:tcW w:type="dxa" w:w="2160"/>
          </w:tcPr>
          <w:p>
            <w:r>
              <w:rPr>
                <w:rFonts w:ascii="Calibri" w:hAnsi="Calibri"/>
                <w:sz w:val="20"/>
              </w:rPr>
              <w:t>Business AI Release Highlights Q1 2026</w:t>
            </w:r>
          </w:p>
        </w:tc>
        <w:tc>
          <w:tcPr>
            <w:tcW w:type="dxa" w:w="2160"/>
          </w:tcPr>
          <w:p>
            <w:r>
              <w:rPr>
                <w:rFonts w:ascii="Calibri" w:hAnsi="Calibri"/>
                <w:sz w:val="20"/>
              </w:rPr>
              <w:t>https://news.sap.com/2026/04/sap-business-ai-release-highlights-q1-2026/</w:t>
            </w:r>
          </w:p>
        </w:tc>
        <w:tc>
          <w:tcPr>
            <w:tcW w:type="dxa" w:w="2160"/>
          </w:tcPr>
          <w:p>
            <w:r>
              <w:rPr>
                <w:rFonts w:ascii="Calibri" w:hAnsi="Calibri"/>
                <w:sz w:val="20"/>
              </w:rPr>
              <w:t>2026</w:t>
            </w:r>
          </w:p>
        </w:tc>
      </w:tr>
      <w:tr>
        <w:tc>
          <w:tcPr>
            <w:tcW w:type="dxa" w:w="2160"/>
          </w:tcPr>
          <w:p>
            <w:r>
              <w:rPr>
                <w:rFonts w:ascii="Calibri" w:hAnsi="Calibri"/>
                <w:sz w:val="20"/>
              </w:rPr>
              <w:t>SAP News Center</w:t>
            </w:r>
          </w:p>
        </w:tc>
        <w:tc>
          <w:tcPr>
            <w:tcW w:type="dxa" w:w="2160"/>
          </w:tcPr>
          <w:p>
            <w:r>
              <w:rPr>
                <w:rFonts w:ascii="Calibri" w:hAnsi="Calibri"/>
                <w:sz w:val="20"/>
              </w:rPr>
              <w:t>Joule + Signavio GA</w:t>
            </w:r>
          </w:p>
        </w:tc>
        <w:tc>
          <w:tcPr>
            <w:tcW w:type="dxa" w:w="2160"/>
          </w:tcPr>
          <w:p>
            <w:r>
              <w:rPr>
                <w:rFonts w:ascii="Calibri" w:hAnsi="Calibri"/>
                <w:sz w:val="20"/>
              </w:rPr>
              <w:t>https://news.sap.com/2026/02/process-conversation-joule-sap-signavio-solutions-generally-available/</w:t>
            </w:r>
          </w:p>
        </w:tc>
        <w:tc>
          <w:tcPr>
            <w:tcW w:type="dxa" w:w="2160"/>
          </w:tcPr>
          <w:p>
            <w:r>
              <w:rPr>
                <w:rFonts w:ascii="Calibri" w:hAnsi="Calibri"/>
                <w:sz w:val="20"/>
              </w:rPr>
              <w:t>2026</w:t>
            </w:r>
          </w:p>
        </w:tc>
      </w:tr>
      <w:tr>
        <w:tc>
          <w:tcPr>
            <w:tcW w:type="dxa" w:w="2160"/>
          </w:tcPr>
          <w:p>
            <w:r>
              <w:rPr>
                <w:rFonts w:ascii="Calibri" w:hAnsi="Calibri"/>
                <w:sz w:val="20"/>
              </w:rPr>
              <w:t>SAP News Center</w:t>
            </w:r>
          </w:p>
        </w:tc>
        <w:tc>
          <w:tcPr>
            <w:tcW w:type="dxa" w:w="2160"/>
          </w:tcPr>
          <w:p>
            <w:r>
              <w:rPr>
                <w:rFonts w:ascii="Calibri" w:hAnsi="Calibri"/>
                <w:sz w:val="20"/>
              </w:rPr>
              <w:t>Business AI Release Highlights Q4 2025</w:t>
            </w:r>
          </w:p>
        </w:tc>
        <w:tc>
          <w:tcPr>
            <w:tcW w:type="dxa" w:w="2160"/>
          </w:tcPr>
          <w:p>
            <w:r>
              <w:rPr>
                <w:rFonts w:ascii="Calibri" w:hAnsi="Calibri"/>
                <w:sz w:val="20"/>
              </w:rPr>
              <w:t>https://news.sap.com/2026/01/sap-business-ai-release-highlights-q4-2025/</w:t>
            </w:r>
          </w:p>
        </w:tc>
        <w:tc>
          <w:tcPr>
            <w:tcW w:type="dxa" w:w="2160"/>
          </w:tcPr>
          <w:p>
            <w:r>
              <w:rPr>
                <w:rFonts w:ascii="Calibri" w:hAnsi="Calibri"/>
                <w:sz w:val="20"/>
              </w:rPr>
              <w:t>2026</w:t>
            </w:r>
          </w:p>
        </w:tc>
      </w:tr>
      <w:tr>
        <w:tc>
          <w:tcPr>
            <w:tcW w:type="dxa" w:w="2160"/>
          </w:tcPr>
          <w:p>
            <w:r>
              <w:rPr>
                <w:rFonts w:ascii="Calibri" w:hAnsi="Calibri"/>
                <w:sz w:val="20"/>
              </w:rPr>
              <w:t>SAVIC Technologies</w:t>
            </w:r>
          </w:p>
        </w:tc>
        <w:tc>
          <w:tcPr>
            <w:tcW w:type="dxa" w:w="2160"/>
          </w:tcPr>
          <w:p>
            <w:r>
              <w:rPr>
                <w:rFonts w:ascii="Calibri" w:hAnsi="Calibri"/>
                <w:sz w:val="20"/>
              </w:rPr>
              <w:t>SAP Joule Agentic AI 2026</w:t>
            </w:r>
          </w:p>
        </w:tc>
        <w:tc>
          <w:tcPr>
            <w:tcW w:type="dxa" w:w="2160"/>
          </w:tcPr>
          <w:p>
            <w:r>
              <w:rPr>
                <w:rFonts w:ascii="Calibri" w:hAnsi="Calibri"/>
                <w:sz w:val="20"/>
              </w:rPr>
              <w:t>https://www.savictech.com/insights/sap-joule-agentic-ai-2026/</w:t>
            </w:r>
          </w:p>
        </w:tc>
        <w:tc>
          <w:tcPr>
            <w:tcW w:type="dxa" w:w="2160"/>
          </w:tcPr>
          <w:p>
            <w:r>
              <w:rPr>
                <w:rFonts w:ascii="Calibri" w:hAnsi="Calibri"/>
                <w:sz w:val="20"/>
              </w:rPr>
              <w:t>2026</w:t>
            </w:r>
          </w:p>
        </w:tc>
      </w:tr>
      <w:tr>
        <w:tc>
          <w:tcPr>
            <w:tcW w:type="dxa" w:w="2160"/>
          </w:tcPr>
          <w:p>
            <w:r>
              <w:rPr>
                <w:rFonts w:ascii="Calibri" w:hAnsi="Calibri"/>
                <w:sz w:val="20"/>
              </w:rPr>
              <w:t>SAVIC Technologies</w:t>
            </w:r>
          </w:p>
        </w:tc>
        <w:tc>
          <w:tcPr>
            <w:tcW w:type="dxa" w:w="2160"/>
          </w:tcPr>
          <w:p>
            <w:r>
              <w:rPr>
                <w:rFonts w:ascii="Calibri" w:hAnsi="Calibri"/>
                <w:sz w:val="20"/>
              </w:rPr>
              <w:t>SAP Joule 2,500+ AI Skills</w:t>
            </w:r>
          </w:p>
        </w:tc>
        <w:tc>
          <w:tcPr>
            <w:tcW w:type="dxa" w:w="2160"/>
          </w:tcPr>
          <w:p>
            <w:r>
              <w:rPr>
                <w:rFonts w:ascii="Calibri" w:hAnsi="Calibri"/>
                <w:sz w:val="20"/>
              </w:rPr>
              <w:t>https://www.savictech.com/insights/sap-joule-ai-skills-2500-erp-transformation-2026/</w:t>
            </w:r>
          </w:p>
        </w:tc>
        <w:tc>
          <w:tcPr>
            <w:tcW w:type="dxa" w:w="2160"/>
          </w:tcPr>
          <w:p>
            <w:r>
              <w:rPr>
                <w:rFonts w:ascii="Calibri" w:hAnsi="Calibri"/>
                <w:sz w:val="20"/>
              </w:rPr>
              <w:t>2026</w:t>
            </w:r>
          </w:p>
        </w:tc>
      </w:tr>
      <w:tr>
        <w:tc>
          <w:tcPr>
            <w:tcW w:type="dxa" w:w="2160"/>
          </w:tcPr>
          <w:p>
            <w:r>
              <w:rPr>
                <w:rFonts w:ascii="Calibri" w:hAnsi="Calibri"/>
                <w:sz w:val="20"/>
              </w:rPr>
              <w:t>SAP Community</w:t>
            </w:r>
          </w:p>
        </w:tc>
        <w:tc>
          <w:tcPr>
            <w:tcW w:type="dxa" w:w="2160"/>
          </w:tcPr>
          <w:p>
            <w:r>
              <w:rPr>
                <w:rFonts w:ascii="Calibri" w:hAnsi="Calibri"/>
                <w:sz w:val="20"/>
              </w:rPr>
              <w:t>2026 Roadmap for Joule for Developers ABAP AI</w:t>
            </w:r>
          </w:p>
        </w:tc>
        <w:tc>
          <w:tcPr>
            <w:tcW w:type="dxa" w:w="2160"/>
          </w:tcPr>
          <w:p>
            <w:r>
              <w:rPr>
                <w:rFonts w:ascii="Calibri" w:hAnsi="Calibri"/>
                <w:sz w:val="20"/>
              </w:rPr>
              <w:t>https://community.sap.com/t5/technology-blog-posts-by-sap/our-2026-roadmap-for-joule-for-developers-abap-ai-capabilities/ba-p/14360358</w:t>
            </w:r>
          </w:p>
        </w:tc>
        <w:tc>
          <w:tcPr>
            <w:tcW w:type="dxa" w:w="2160"/>
          </w:tcPr>
          <w:p>
            <w:r>
              <w:rPr>
                <w:rFonts w:ascii="Calibri" w:hAnsi="Calibri"/>
                <w:sz w:val="20"/>
              </w:rPr>
              <w:t>2026</w:t>
            </w:r>
          </w:p>
        </w:tc>
      </w:tr>
      <w:tr>
        <w:tc>
          <w:tcPr>
            <w:tcW w:type="dxa" w:w="2160"/>
          </w:tcPr>
          <w:p>
            <w:r>
              <w:rPr>
                <w:rFonts w:ascii="Calibri" w:hAnsi="Calibri"/>
                <w:sz w:val="20"/>
              </w:rPr>
              <w:t>SAP Architecture Center</w:t>
            </w:r>
          </w:p>
        </w:tc>
        <w:tc>
          <w:tcPr>
            <w:tcW w:type="dxa" w:w="2160"/>
          </w:tcPr>
          <w:p>
            <w:r>
              <w:rPr>
                <w:rFonts w:ascii="Calibri" w:hAnsi="Calibri"/>
                <w:sz w:val="20"/>
              </w:rPr>
              <w:t>Agentic AI &amp; AI Agents</w:t>
            </w:r>
          </w:p>
        </w:tc>
        <w:tc>
          <w:tcPr>
            <w:tcW w:type="dxa" w:w="2160"/>
          </w:tcPr>
          <w:p>
            <w:r>
              <w:rPr>
                <w:rFonts w:ascii="Calibri" w:hAnsi="Calibri"/>
                <w:sz w:val="20"/>
              </w:rPr>
              <w:t>https://architecture.learning.sap.com/docs/ref-arch/ca1d2a3e</w:t>
            </w:r>
          </w:p>
        </w:tc>
        <w:tc>
          <w:tcPr>
            <w:tcW w:type="dxa" w:w="2160"/>
          </w:tcPr>
          <w:p>
            <w:r>
              <w:rPr>
                <w:rFonts w:ascii="Calibri" w:hAnsi="Calibri"/>
                <w:sz w:val="20"/>
              </w:rPr>
              <w:t>2026</w:t>
            </w:r>
          </w:p>
        </w:tc>
      </w:tr>
      <w:tr>
        <w:tc>
          <w:tcPr>
            <w:tcW w:type="dxa" w:w="2160"/>
          </w:tcPr>
          <w:p>
            <w:r>
              <w:rPr>
                <w:rFonts w:ascii="Calibri" w:hAnsi="Calibri"/>
                <w:sz w:val="20"/>
              </w:rPr>
              <w:t>AIMultiple</w:t>
            </w:r>
          </w:p>
        </w:tc>
        <w:tc>
          <w:tcPr>
            <w:tcW w:type="dxa" w:w="2160"/>
          </w:tcPr>
          <w:p>
            <w:r>
              <w:rPr>
                <w:rFonts w:ascii="Calibri" w:hAnsi="Calibri"/>
                <w:sz w:val="20"/>
              </w:rPr>
              <w:t>SAP AI Agents 2026: Joule Studio Features</w:t>
            </w:r>
          </w:p>
        </w:tc>
        <w:tc>
          <w:tcPr>
            <w:tcW w:type="dxa" w:w="2160"/>
          </w:tcPr>
          <w:p>
            <w:r>
              <w:rPr>
                <w:rFonts w:ascii="Calibri" w:hAnsi="Calibri"/>
                <w:sz w:val="20"/>
              </w:rPr>
              <w:t>https://research.aimultiple.com/sap-ai-agents/</w:t>
            </w:r>
          </w:p>
        </w:tc>
        <w:tc>
          <w:tcPr>
            <w:tcW w:type="dxa" w:w="2160"/>
          </w:tcPr>
          <w:p>
            <w:r>
              <w:rPr>
                <w:rFonts w:ascii="Calibri" w:hAnsi="Calibri"/>
                <w:sz w:val="20"/>
              </w:rPr>
              <w:t>2026</w:t>
            </w:r>
          </w:p>
        </w:tc>
      </w:tr>
    </w:tbl>
    <w:p/>
    <w:p>
      <w:pPr>
        <w:pStyle w:val="Heading2"/>
      </w:pPr>
      <w:r>
        <w:t>MCP &amp; Integration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Source</w:t>
            </w:r>
          </w:p>
        </w:tc>
        <w:tc>
          <w:tcPr>
            <w:tcW w:type="dxa" w:w="2160"/>
          </w:tcPr>
          <w:p>
            <w:r>
              <w:rPr>
                <w:rFonts w:ascii="Calibri" w:hAnsi="Calibri"/>
                <w:b/>
                <w:sz w:val="20"/>
              </w:rPr>
              <w:t>Title</w:t>
            </w:r>
          </w:p>
        </w:tc>
        <w:tc>
          <w:tcPr>
            <w:tcW w:type="dxa" w:w="2160"/>
          </w:tcPr>
          <w:p>
            <w:r>
              <w:rPr>
                <w:rFonts w:ascii="Calibri" w:hAnsi="Calibri"/>
                <w:b/>
                <w:sz w:val="20"/>
              </w:rPr>
              <w:t>URL</w:t>
            </w:r>
          </w:p>
        </w:tc>
        <w:tc>
          <w:tcPr>
            <w:tcW w:type="dxa" w:w="2160"/>
          </w:tcPr>
          <w:p>
            <w:r>
              <w:rPr>
                <w:rFonts w:ascii="Calibri" w:hAnsi="Calibri"/>
                <w:b/>
                <w:sz w:val="20"/>
              </w:rPr>
              <w:t>Date</w:t>
            </w:r>
          </w:p>
        </w:tc>
      </w:tr>
      <w:tr>
        <w:tc>
          <w:tcPr>
            <w:tcW w:type="dxa" w:w="2160"/>
          </w:tcPr>
          <w:p>
            <w:r>
              <w:rPr>
                <w:rFonts w:ascii="Calibri" w:hAnsi="Calibri"/>
                <w:sz w:val="20"/>
              </w:rPr>
              <w:t>AWS</w:t>
            </w:r>
          </w:p>
        </w:tc>
        <w:tc>
          <w:tcPr>
            <w:tcW w:type="dxa" w:w="2160"/>
          </w:tcPr>
          <w:p>
            <w:r>
              <w:rPr>
                <w:rFonts w:ascii="Calibri" w:hAnsi="Calibri"/>
                <w:sz w:val="20"/>
              </w:rPr>
              <w:t>AWS for SAP MCP Server Documentation</w:t>
            </w:r>
          </w:p>
        </w:tc>
        <w:tc>
          <w:tcPr>
            <w:tcW w:type="dxa" w:w="2160"/>
          </w:tcPr>
          <w:p>
            <w:r>
              <w:rPr>
                <w:rFonts w:ascii="Calibri" w:hAnsi="Calibri"/>
                <w:sz w:val="20"/>
              </w:rPr>
              <w:t>https://docs.aws.amazon.com/mcp-sap/latest/awsforsapmcp/introduction.html</w:t>
            </w:r>
          </w:p>
        </w:tc>
        <w:tc>
          <w:tcPr>
            <w:tcW w:type="dxa" w:w="2160"/>
          </w:tcPr>
          <w:p>
            <w:r>
              <w:rPr>
                <w:rFonts w:ascii="Calibri" w:hAnsi="Calibri"/>
                <w:sz w:val="20"/>
              </w:rPr>
              <w:t>2026</w:t>
            </w:r>
          </w:p>
        </w:tc>
      </w:tr>
      <w:tr>
        <w:tc>
          <w:tcPr>
            <w:tcW w:type="dxa" w:w="2160"/>
          </w:tcPr>
          <w:p>
            <w:r>
              <w:rPr>
                <w:rFonts w:ascii="Calibri" w:hAnsi="Calibri"/>
                <w:sz w:val="20"/>
              </w:rPr>
              <w:t>SAP Community</w:t>
            </w:r>
          </w:p>
        </w:tc>
        <w:tc>
          <w:tcPr>
            <w:tcW w:type="dxa" w:w="2160"/>
          </w:tcPr>
          <w:p>
            <w:r>
              <w:rPr>
                <w:rFonts w:ascii="Calibri" w:hAnsi="Calibri"/>
                <w:sz w:val="20"/>
              </w:rPr>
              <w:t>Building Agentic AI with MCP and SAP BTP Kyma</w:t>
            </w:r>
          </w:p>
        </w:tc>
        <w:tc>
          <w:tcPr>
            <w:tcW w:type="dxa" w:w="2160"/>
          </w:tcPr>
          <w:p>
            <w:r>
              <w:rPr>
                <w:rFonts w:ascii="Calibri" w:hAnsi="Calibri"/>
                <w:sz w:val="20"/>
              </w:rPr>
              <w:t>https://community.sap.com/t5/technology-blog-posts-by-sap/building-an-agentic-ai-system-with-model-context-protocol-mcp-and-sap-btp/ba-p/14090900</w:t>
            </w:r>
          </w:p>
        </w:tc>
        <w:tc>
          <w:tcPr>
            <w:tcW w:type="dxa" w:w="2160"/>
          </w:tcPr>
          <w:p>
            <w:r>
              <w:rPr>
                <w:rFonts w:ascii="Calibri" w:hAnsi="Calibri"/>
                <w:sz w:val="20"/>
              </w:rPr>
              <w:t>2026</w:t>
            </w:r>
          </w:p>
        </w:tc>
      </w:tr>
      <w:tr>
        <w:tc>
          <w:tcPr>
            <w:tcW w:type="dxa" w:w="2160"/>
          </w:tcPr>
          <w:p>
            <w:r>
              <w:rPr>
                <w:rFonts w:ascii="Calibri" w:hAnsi="Calibri"/>
                <w:sz w:val="20"/>
              </w:rPr>
              <w:t>K2View</w:t>
            </w:r>
          </w:p>
        </w:tc>
        <w:tc>
          <w:tcPr>
            <w:tcW w:type="dxa" w:w="2160"/>
          </w:tcPr>
          <w:p>
            <w:r>
              <w:rPr>
                <w:rFonts w:ascii="Calibri" w:hAnsi="Calibri"/>
                <w:sz w:val="20"/>
              </w:rPr>
              <w:t>SAP MCP: Unlocking SAP Data Access for AI Agents</w:t>
            </w:r>
          </w:p>
        </w:tc>
        <w:tc>
          <w:tcPr>
            <w:tcW w:type="dxa" w:w="2160"/>
          </w:tcPr>
          <w:p>
            <w:r>
              <w:rPr>
                <w:rFonts w:ascii="Calibri" w:hAnsi="Calibri"/>
                <w:sz w:val="20"/>
              </w:rPr>
              <w:t>https://www.k2view.com/blog/sap-mcp/</w:t>
            </w:r>
          </w:p>
        </w:tc>
        <w:tc>
          <w:tcPr>
            <w:tcW w:type="dxa" w:w="2160"/>
          </w:tcPr>
          <w:p>
            <w:r>
              <w:rPr>
                <w:rFonts w:ascii="Calibri" w:hAnsi="Calibri"/>
                <w:sz w:val="20"/>
              </w:rPr>
              <w:t>2026</w:t>
            </w:r>
          </w:p>
        </w:tc>
      </w:tr>
      <w:tr>
        <w:tc>
          <w:tcPr>
            <w:tcW w:type="dxa" w:w="2160"/>
          </w:tcPr>
          <w:p>
            <w:r>
              <w:rPr>
                <w:rFonts w:ascii="Calibri" w:hAnsi="Calibri"/>
                <w:sz w:val="20"/>
              </w:rPr>
              <w:t>Techzine</w:t>
            </w:r>
          </w:p>
        </w:tc>
        <w:tc>
          <w:tcPr>
            <w:tcW w:type="dxa" w:w="2160"/>
          </w:tcPr>
          <w:p>
            <w:r>
              <w:rPr>
                <w:rFonts w:ascii="Calibri" w:hAnsi="Calibri"/>
                <w:sz w:val="20"/>
              </w:rPr>
              <w:t>SAP Opens Platform with MCP</w:t>
            </w:r>
          </w:p>
        </w:tc>
        <w:tc>
          <w:tcPr>
            <w:tcW w:type="dxa" w:w="2160"/>
          </w:tcPr>
          <w:p>
            <w:r>
              <w:rPr>
                <w:rFonts w:ascii="Calibri" w:hAnsi="Calibri"/>
                <w:sz w:val="20"/>
              </w:rPr>
              <w:t>https://www.techzine.eu/blogs/analytics/136034/sap-opens-platform-with-mcp-ai-agents-can-communicate-with-sap/</w:t>
            </w:r>
          </w:p>
        </w:tc>
        <w:tc>
          <w:tcPr>
            <w:tcW w:type="dxa" w:w="2160"/>
          </w:tcPr>
          <w:p>
            <w:r>
              <w:rPr>
                <w:rFonts w:ascii="Calibri" w:hAnsi="Calibri"/>
                <w:sz w:val="20"/>
              </w:rPr>
              <w:t>2026</w:t>
            </w:r>
          </w:p>
        </w:tc>
      </w:tr>
      <w:tr>
        <w:tc>
          <w:tcPr>
            <w:tcW w:type="dxa" w:w="2160"/>
          </w:tcPr>
          <w:p>
            <w:r>
              <w:rPr>
                <w:rFonts w:ascii="Calibri" w:hAnsi="Calibri"/>
                <w:sz w:val="20"/>
              </w:rPr>
              <w:t>Theobald Software</w:t>
            </w:r>
          </w:p>
        </w:tc>
        <w:tc>
          <w:tcPr>
            <w:tcW w:type="dxa" w:w="2160"/>
          </w:tcPr>
          <w:p>
            <w:r>
              <w:rPr>
                <w:rFonts w:ascii="Calibri" w:hAnsi="Calibri"/>
                <w:sz w:val="20"/>
              </w:rPr>
              <w:t>AI Agents with Real-Time SAP Data via MCP</w:t>
            </w:r>
          </w:p>
        </w:tc>
        <w:tc>
          <w:tcPr>
            <w:tcW w:type="dxa" w:w="2160"/>
          </w:tcPr>
          <w:p>
            <w:r>
              <w:rPr>
                <w:rFonts w:ascii="Calibri" w:hAnsi="Calibri"/>
                <w:sz w:val="20"/>
              </w:rPr>
              <w:t>https://theobald-software.com/en/solutions/ai-mcp</w:t>
            </w:r>
          </w:p>
        </w:tc>
        <w:tc>
          <w:tcPr>
            <w:tcW w:type="dxa" w:w="2160"/>
          </w:tcPr>
          <w:p>
            <w:r>
              <w:rPr>
                <w:rFonts w:ascii="Calibri" w:hAnsi="Calibri"/>
                <w:sz w:val="20"/>
              </w:rPr>
              <w:t>2026</w:t>
            </w:r>
          </w:p>
        </w:tc>
      </w:tr>
    </w:tbl>
    <w:p/>
    <w:p>
      <w:pPr>
        <w:pStyle w:val="Heading2"/>
      </w:pPr>
      <w:r>
        <w:t>Market Sizing &amp; Analysis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Source</w:t>
            </w:r>
          </w:p>
        </w:tc>
        <w:tc>
          <w:tcPr>
            <w:tcW w:type="dxa" w:w="2160"/>
          </w:tcPr>
          <w:p>
            <w:r>
              <w:rPr>
                <w:rFonts w:ascii="Calibri" w:hAnsi="Calibri"/>
                <w:b/>
                <w:sz w:val="20"/>
              </w:rPr>
              <w:t>Title</w:t>
            </w:r>
          </w:p>
        </w:tc>
        <w:tc>
          <w:tcPr>
            <w:tcW w:type="dxa" w:w="2160"/>
          </w:tcPr>
          <w:p>
            <w:r>
              <w:rPr>
                <w:rFonts w:ascii="Calibri" w:hAnsi="Calibri"/>
                <w:b/>
                <w:sz w:val="20"/>
              </w:rPr>
              <w:t>URL</w:t>
            </w:r>
          </w:p>
        </w:tc>
        <w:tc>
          <w:tcPr>
            <w:tcW w:type="dxa" w:w="2160"/>
          </w:tcPr>
          <w:p>
            <w:r>
              <w:rPr>
                <w:rFonts w:ascii="Calibri" w:hAnsi="Calibri"/>
                <w:b/>
                <w:sz w:val="20"/>
              </w:rPr>
              <w:t>Date</w:t>
            </w:r>
          </w:p>
        </w:tc>
      </w:tr>
      <w:tr>
        <w:tc>
          <w:tcPr>
            <w:tcW w:type="dxa" w:w="2160"/>
          </w:tcPr>
          <w:p>
            <w:r>
              <w:rPr>
                <w:rFonts w:ascii="Calibri" w:hAnsi="Calibri"/>
                <w:sz w:val="20"/>
              </w:rPr>
              <w:t>MarketIntelo</w:t>
            </w:r>
          </w:p>
        </w:tc>
        <w:tc>
          <w:tcPr>
            <w:tcW w:type="dxa" w:w="2160"/>
          </w:tcPr>
          <w:p>
            <w:r>
              <w:rPr>
                <w:rFonts w:ascii="Calibri" w:hAnsi="Calibri"/>
                <w:sz w:val="20"/>
              </w:rPr>
              <w:t>Order-to-Cash Automation AI Market Research Report 2033</w:t>
            </w:r>
          </w:p>
        </w:tc>
        <w:tc>
          <w:tcPr>
            <w:tcW w:type="dxa" w:w="2160"/>
          </w:tcPr>
          <w:p>
            <w:r>
              <w:rPr>
                <w:rFonts w:ascii="Calibri" w:hAnsi="Calibri"/>
                <w:sz w:val="20"/>
              </w:rPr>
              <w:t>https://marketintelo.com/report/order-to-cash-automation-ai-market</w:t>
            </w:r>
          </w:p>
        </w:tc>
        <w:tc>
          <w:tcPr>
            <w:tcW w:type="dxa" w:w="2160"/>
          </w:tcPr>
          <w:p>
            <w:r>
              <w:rPr>
                <w:rFonts w:ascii="Calibri" w:hAnsi="Calibri"/>
                <w:sz w:val="20"/>
              </w:rPr>
              <w:t>2026</w:t>
            </w:r>
          </w:p>
        </w:tc>
      </w:tr>
      <w:tr>
        <w:tc>
          <w:tcPr>
            <w:tcW w:type="dxa" w:w="2160"/>
          </w:tcPr>
          <w:p>
            <w:r>
              <w:rPr>
                <w:rFonts w:ascii="Calibri" w:hAnsi="Calibri"/>
                <w:sz w:val="20"/>
              </w:rPr>
              <w:t>Mordor Intelligence</w:t>
            </w:r>
          </w:p>
        </w:tc>
        <w:tc>
          <w:tcPr>
            <w:tcW w:type="dxa" w:w="2160"/>
          </w:tcPr>
          <w:p>
            <w:r>
              <w:rPr>
                <w:rFonts w:ascii="Calibri" w:hAnsi="Calibri"/>
                <w:sz w:val="20"/>
              </w:rPr>
              <w:t>Accounts Receivable Automation Market</w:t>
            </w:r>
          </w:p>
        </w:tc>
        <w:tc>
          <w:tcPr>
            <w:tcW w:type="dxa" w:w="2160"/>
          </w:tcPr>
          <w:p>
            <w:r>
              <w:rPr>
                <w:rFonts w:ascii="Calibri" w:hAnsi="Calibri"/>
                <w:sz w:val="20"/>
              </w:rPr>
              <w:t>https://www.mordorintelligence.com/industry-reports/accounts-receivable-automation-market</w:t>
            </w:r>
          </w:p>
        </w:tc>
        <w:tc>
          <w:tcPr>
            <w:tcW w:type="dxa" w:w="2160"/>
          </w:tcPr>
          <w:p>
            <w:r>
              <w:rPr>
                <w:rFonts w:ascii="Calibri" w:hAnsi="Calibri"/>
                <w:sz w:val="20"/>
              </w:rPr>
              <w:t>2026</w:t>
            </w:r>
          </w:p>
        </w:tc>
      </w:tr>
      <w:tr>
        <w:tc>
          <w:tcPr>
            <w:tcW w:type="dxa" w:w="2160"/>
          </w:tcPr>
          <w:p>
            <w:r>
              <w:rPr>
                <w:rFonts w:ascii="Calibri" w:hAnsi="Calibri"/>
                <w:sz w:val="20"/>
              </w:rPr>
              <w:t>QY Research</w:t>
            </w:r>
          </w:p>
        </w:tc>
        <w:tc>
          <w:tcPr>
            <w:tcW w:type="dxa" w:w="2160"/>
          </w:tcPr>
          <w:p>
            <w:r>
              <w:rPr>
                <w:rFonts w:ascii="Calibri" w:hAnsi="Calibri"/>
                <w:sz w:val="20"/>
              </w:rPr>
              <w:t>Global O2C Software Market Outlook to 2031</w:t>
            </w:r>
          </w:p>
        </w:tc>
        <w:tc>
          <w:tcPr>
            <w:tcW w:type="dxa" w:w="2160"/>
          </w:tcPr>
          <w:p>
            <w:r>
              <w:rPr>
                <w:rFonts w:ascii="Calibri" w:hAnsi="Calibri"/>
                <w:sz w:val="20"/>
              </w:rPr>
              <w:t>https://www.qyresearch.com/reports/5536214/order-to-cash--o2c--software</w:t>
            </w:r>
          </w:p>
        </w:tc>
        <w:tc>
          <w:tcPr>
            <w:tcW w:type="dxa" w:w="2160"/>
          </w:tcPr>
          <w:p>
            <w:r>
              <w:rPr>
                <w:rFonts w:ascii="Calibri" w:hAnsi="Calibri"/>
                <w:sz w:val="20"/>
              </w:rPr>
              <w:t>2026</w:t>
            </w:r>
          </w:p>
        </w:tc>
      </w:tr>
      <w:tr>
        <w:tc>
          <w:tcPr>
            <w:tcW w:type="dxa" w:w="2160"/>
          </w:tcPr>
          <w:p>
            <w:r>
              <w:rPr>
                <w:rFonts w:ascii="Calibri" w:hAnsi="Calibri"/>
                <w:sz w:val="20"/>
              </w:rPr>
              <w:t>GlobeNewsWire</w:t>
            </w:r>
          </w:p>
        </w:tc>
        <w:tc>
          <w:tcPr>
            <w:tcW w:type="dxa" w:w="2160"/>
          </w:tcPr>
          <w:p>
            <w:r>
              <w:rPr>
                <w:rFonts w:ascii="Calibri" w:hAnsi="Calibri"/>
                <w:sz w:val="20"/>
              </w:rPr>
              <w:t>RPA Market Size: $35.27B (2026) to $247.34B (2035)</w:t>
            </w:r>
          </w:p>
        </w:tc>
        <w:tc>
          <w:tcPr>
            <w:tcW w:type="dxa" w:w="2160"/>
          </w:tcPr>
          <w:p>
            <w:r>
              <w:rPr>
                <w:rFonts w:ascii="Calibri" w:hAnsi="Calibri"/>
                <w:sz w:val="20"/>
              </w:rPr>
              <w:t>https://www.globenewswire.com/news-release/2025/12/16/3206126/0/en/</w:t>
            </w:r>
          </w:p>
        </w:tc>
        <w:tc>
          <w:tcPr>
            <w:tcW w:type="dxa" w:w="2160"/>
          </w:tcPr>
          <w:p>
            <w:r>
              <w:rPr>
                <w:rFonts w:ascii="Calibri" w:hAnsi="Calibri"/>
                <w:sz w:val="20"/>
              </w:rPr>
              <w:t>2025</w:t>
            </w:r>
          </w:p>
        </w:tc>
      </w:tr>
      <w:tr>
        <w:tc>
          <w:tcPr>
            <w:tcW w:type="dxa" w:w="2160"/>
          </w:tcPr>
          <w:p>
            <w:r>
              <w:rPr>
                <w:rFonts w:ascii="Calibri" w:hAnsi="Calibri"/>
                <w:sz w:val="20"/>
              </w:rPr>
              <w:t>NextMSC</w:t>
            </w:r>
          </w:p>
        </w:tc>
        <w:tc>
          <w:tcPr>
            <w:tcW w:type="dxa" w:w="2160"/>
          </w:tcPr>
          <w:p>
            <w:r>
              <w:rPr>
                <w:rFonts w:ascii="Calibri" w:hAnsi="Calibri"/>
                <w:sz w:val="20"/>
              </w:rPr>
              <w:t>ERP Software Market Size 2025-2035</w:t>
            </w:r>
          </w:p>
        </w:tc>
        <w:tc>
          <w:tcPr>
            <w:tcW w:type="dxa" w:w="2160"/>
          </w:tcPr>
          <w:p>
            <w:r>
              <w:rPr>
                <w:rFonts w:ascii="Calibri" w:hAnsi="Calibri"/>
                <w:sz w:val="20"/>
              </w:rPr>
              <w:t>https://www.nextmsc.com/blogs/sap-se-microsoft-corporation-oracle-and-other-leading-erp-providers-transforming-enterprise-management</w:t>
            </w:r>
          </w:p>
        </w:tc>
        <w:tc>
          <w:tcPr>
            <w:tcW w:type="dxa" w:w="2160"/>
          </w:tcPr>
          <w:p>
            <w:r>
              <w:rPr>
                <w:rFonts w:ascii="Calibri" w:hAnsi="Calibri"/>
                <w:sz w:val="20"/>
              </w:rPr>
              <w:t>2026</w:t>
            </w:r>
          </w:p>
        </w:tc>
      </w:tr>
    </w:tbl>
    <w:p/>
    <w:p>
      <w:pPr>
        <w:pStyle w:val="Heading2"/>
      </w:pPr>
      <w:r>
        <w:t>Competitive Intelligence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Source</w:t>
            </w:r>
          </w:p>
        </w:tc>
        <w:tc>
          <w:tcPr>
            <w:tcW w:type="dxa" w:w="2160"/>
          </w:tcPr>
          <w:p>
            <w:r>
              <w:rPr>
                <w:rFonts w:ascii="Calibri" w:hAnsi="Calibri"/>
                <w:b/>
                <w:sz w:val="20"/>
              </w:rPr>
              <w:t>Title</w:t>
            </w:r>
          </w:p>
        </w:tc>
        <w:tc>
          <w:tcPr>
            <w:tcW w:type="dxa" w:w="2160"/>
          </w:tcPr>
          <w:p>
            <w:r>
              <w:rPr>
                <w:rFonts w:ascii="Calibri" w:hAnsi="Calibri"/>
                <w:b/>
                <w:sz w:val="20"/>
              </w:rPr>
              <w:t>URL</w:t>
            </w:r>
          </w:p>
        </w:tc>
        <w:tc>
          <w:tcPr>
            <w:tcW w:type="dxa" w:w="2160"/>
          </w:tcPr>
          <w:p>
            <w:r>
              <w:rPr>
                <w:rFonts w:ascii="Calibri" w:hAnsi="Calibri"/>
                <w:b/>
                <w:sz w:val="20"/>
              </w:rPr>
              <w:t>Date</w:t>
            </w:r>
          </w:p>
        </w:tc>
      </w:tr>
      <w:tr>
        <w:tc>
          <w:tcPr>
            <w:tcW w:type="dxa" w:w="2160"/>
          </w:tcPr>
          <w:p>
            <w:r>
              <w:rPr>
                <w:rFonts w:ascii="Calibri" w:hAnsi="Calibri"/>
                <w:sz w:val="20"/>
              </w:rPr>
              <w:t>TechFundingNews</w:t>
            </w:r>
          </w:p>
        </w:tc>
        <w:tc>
          <w:tcPr>
            <w:tcW w:type="dxa" w:w="2160"/>
          </w:tcPr>
          <w:p>
            <w:r>
              <w:rPr>
                <w:rFonts w:ascii="Calibri" w:hAnsi="Calibri"/>
                <w:sz w:val="20"/>
              </w:rPr>
              <w:t>Tessera Labs $60M Series A (a16z)</w:t>
            </w:r>
          </w:p>
        </w:tc>
        <w:tc>
          <w:tcPr>
            <w:tcW w:type="dxa" w:w="2160"/>
          </w:tcPr>
          <w:p>
            <w:r>
              <w:rPr>
                <w:rFonts w:ascii="Calibri" w:hAnsi="Calibri"/>
                <w:sz w:val="20"/>
              </w:rPr>
              <w:t>https://techfundingnews.com/tessera-labs-60m-series-a-a16z-erp-sap-migration-ai/</w:t>
            </w:r>
          </w:p>
        </w:tc>
        <w:tc>
          <w:tcPr>
            <w:tcW w:type="dxa" w:w="2160"/>
          </w:tcPr>
          <w:p>
            <w:r>
              <w:rPr>
                <w:rFonts w:ascii="Calibri" w:hAnsi="Calibri"/>
                <w:sz w:val="20"/>
              </w:rPr>
              <w:t>2026</w:t>
            </w:r>
          </w:p>
        </w:tc>
      </w:tr>
      <w:tr>
        <w:tc>
          <w:tcPr>
            <w:tcW w:type="dxa" w:w="2160"/>
          </w:tcPr>
          <w:p>
            <w:r>
              <w:rPr>
                <w:rFonts w:ascii="Calibri" w:hAnsi="Calibri"/>
                <w:sz w:val="20"/>
              </w:rPr>
              <w:t>BusinessWire</w:t>
            </w:r>
          </w:p>
        </w:tc>
        <w:tc>
          <w:tcPr>
            <w:tcW w:type="dxa" w:w="2160"/>
          </w:tcPr>
          <w:p>
            <w:r>
              <w:rPr>
                <w:rFonts w:ascii="Calibri" w:hAnsi="Calibri"/>
                <w:sz w:val="20"/>
              </w:rPr>
              <w:t>Tessera Labs Raises $60M</w:t>
            </w:r>
          </w:p>
        </w:tc>
        <w:tc>
          <w:tcPr>
            <w:tcW w:type="dxa" w:w="2160"/>
          </w:tcPr>
          <w:p>
            <w:r>
              <w:rPr>
                <w:rFonts w:ascii="Calibri" w:hAnsi="Calibri"/>
                <w:sz w:val="20"/>
              </w:rPr>
              <w:t>https://www.businesswire.com/news/home/20260506853624/en/</w:t>
            </w:r>
          </w:p>
        </w:tc>
        <w:tc>
          <w:tcPr>
            <w:tcW w:type="dxa" w:w="2160"/>
          </w:tcPr>
          <w:p>
            <w:r>
              <w:rPr>
                <w:rFonts w:ascii="Calibri" w:hAnsi="Calibri"/>
                <w:sz w:val="20"/>
              </w:rPr>
              <w:t>2026</w:t>
            </w:r>
          </w:p>
        </w:tc>
      </w:tr>
      <w:tr>
        <w:tc>
          <w:tcPr>
            <w:tcW w:type="dxa" w:w="2160"/>
          </w:tcPr>
          <w:p>
            <w:r>
              <w:rPr>
                <w:rFonts w:ascii="Calibri" w:hAnsi="Calibri"/>
                <w:sz w:val="20"/>
              </w:rPr>
              <w:t>HighRadius</w:t>
            </w:r>
          </w:p>
        </w:tc>
        <w:tc>
          <w:tcPr>
            <w:tcW w:type="dxa" w:w="2160"/>
          </w:tcPr>
          <w:p>
            <w:r>
              <w:rPr>
                <w:rFonts w:ascii="Calibri" w:hAnsi="Calibri"/>
                <w:sz w:val="20"/>
              </w:rPr>
              <w:t>SAP AR Automation Integration</w:t>
            </w:r>
          </w:p>
        </w:tc>
        <w:tc>
          <w:tcPr>
            <w:tcW w:type="dxa" w:w="2160"/>
          </w:tcPr>
          <w:p>
            <w:r>
              <w:rPr>
                <w:rFonts w:ascii="Calibri" w:hAnsi="Calibri"/>
                <w:sz w:val="20"/>
              </w:rPr>
              <w:t>https://www.highradius.com/product/accounts-receivable-software/erp/sap/</w:t>
            </w:r>
          </w:p>
        </w:tc>
        <w:tc>
          <w:tcPr>
            <w:tcW w:type="dxa" w:w="2160"/>
          </w:tcPr>
          <w:p>
            <w:r>
              <w:rPr>
                <w:rFonts w:ascii="Calibri" w:hAnsi="Calibri"/>
                <w:sz w:val="20"/>
              </w:rPr>
              <w:t>2026</w:t>
            </w:r>
          </w:p>
        </w:tc>
      </w:tr>
      <w:tr>
        <w:tc>
          <w:tcPr>
            <w:tcW w:type="dxa" w:w="2160"/>
          </w:tcPr>
          <w:p>
            <w:r>
              <w:rPr>
                <w:rFonts w:ascii="Calibri" w:hAnsi="Calibri"/>
                <w:sz w:val="20"/>
              </w:rPr>
              <w:t>HighRadius</w:t>
            </w:r>
          </w:p>
        </w:tc>
        <w:tc>
          <w:tcPr>
            <w:tcW w:type="dxa" w:w="2160"/>
          </w:tcPr>
          <w:p>
            <w:r>
              <w:rPr>
                <w:rFonts w:ascii="Calibri" w:hAnsi="Calibri"/>
                <w:sz w:val="20"/>
              </w:rPr>
              <w:t>Order-to-Cash Automation Complete Guide</w:t>
            </w:r>
          </w:p>
        </w:tc>
        <w:tc>
          <w:tcPr>
            <w:tcW w:type="dxa" w:w="2160"/>
          </w:tcPr>
          <w:p>
            <w:r>
              <w:rPr>
                <w:rFonts w:ascii="Calibri" w:hAnsi="Calibri"/>
                <w:sz w:val="20"/>
              </w:rPr>
              <w:t>https://www.highradius.com/resources/Blog/order-to-cash-automation-processes-benefits-and-industry-insights/</w:t>
            </w:r>
          </w:p>
        </w:tc>
        <w:tc>
          <w:tcPr>
            <w:tcW w:type="dxa" w:w="2160"/>
          </w:tcPr>
          <w:p>
            <w:r>
              <w:rPr>
                <w:rFonts w:ascii="Calibri" w:hAnsi="Calibri"/>
                <w:sz w:val="20"/>
              </w:rPr>
              <w:t>2026</w:t>
            </w:r>
          </w:p>
        </w:tc>
      </w:tr>
      <w:tr>
        <w:tc>
          <w:tcPr>
            <w:tcW w:type="dxa" w:w="2160"/>
          </w:tcPr>
          <w:p>
            <w:r>
              <w:rPr>
                <w:rFonts w:ascii="Calibri" w:hAnsi="Calibri"/>
                <w:sz w:val="20"/>
              </w:rPr>
              <w:t>Automation Anywhere</w:t>
            </w:r>
          </w:p>
        </w:tc>
        <w:tc>
          <w:tcPr>
            <w:tcW w:type="dxa" w:w="2160"/>
          </w:tcPr>
          <w:p>
            <w:r>
              <w:rPr>
                <w:rFonts w:ascii="Calibri" w:hAnsi="Calibri"/>
                <w:sz w:val="20"/>
              </w:rPr>
              <w:t>Q1 FY2026 Growth &amp; Profitability</w:t>
            </w:r>
          </w:p>
        </w:tc>
        <w:tc>
          <w:tcPr>
            <w:tcW w:type="dxa" w:w="2160"/>
          </w:tcPr>
          <w:p>
            <w:r>
              <w:rPr>
                <w:rFonts w:ascii="Calibri" w:hAnsi="Calibri"/>
                <w:sz w:val="20"/>
              </w:rPr>
              <w:t>https://www.automationanywhere.com/company/press-room/automation-anywhere-reports-strong-q1-fiscal-year-2026-growth-and-profitability</w:t>
            </w:r>
          </w:p>
        </w:tc>
        <w:tc>
          <w:tcPr>
            <w:tcW w:type="dxa" w:w="2160"/>
          </w:tcPr>
          <w:p>
            <w:r>
              <w:rPr>
                <w:rFonts w:ascii="Calibri" w:hAnsi="Calibri"/>
                <w:sz w:val="20"/>
              </w:rPr>
              <w:t>2026</w:t>
            </w:r>
          </w:p>
        </w:tc>
      </w:tr>
      <w:tr>
        <w:tc>
          <w:tcPr>
            <w:tcW w:type="dxa" w:w="2160"/>
          </w:tcPr>
          <w:p>
            <w:r>
              <w:rPr>
                <w:rFonts w:ascii="Calibri" w:hAnsi="Calibri"/>
                <w:sz w:val="20"/>
              </w:rPr>
              <w:t>UiPath IR</w:t>
            </w:r>
          </w:p>
        </w:tc>
        <w:tc>
          <w:tcPr>
            <w:tcW w:type="dxa" w:w="2160"/>
          </w:tcPr>
          <w:p>
            <w:r>
              <w:rPr>
                <w:rFonts w:ascii="Calibri" w:hAnsi="Calibri"/>
                <w:sz w:val="20"/>
              </w:rPr>
              <w:t>Q3 FY2026 Financial Results</w:t>
            </w:r>
          </w:p>
        </w:tc>
        <w:tc>
          <w:tcPr>
            <w:tcW w:type="dxa" w:w="2160"/>
          </w:tcPr>
          <w:p>
            <w:r>
              <w:rPr>
                <w:rFonts w:ascii="Calibri" w:hAnsi="Calibri"/>
                <w:sz w:val="20"/>
              </w:rPr>
              <w:t>https://ir.uipath.com/news/detail/420/uipath-reports-third-quarter-fiscal-2026-financial-results</w:t>
            </w:r>
          </w:p>
        </w:tc>
        <w:tc>
          <w:tcPr>
            <w:tcW w:type="dxa" w:w="2160"/>
          </w:tcPr>
          <w:p>
            <w:r>
              <w:rPr>
                <w:rFonts w:ascii="Calibri" w:hAnsi="Calibri"/>
                <w:sz w:val="20"/>
              </w:rPr>
              <w:t>2026</w:t>
            </w:r>
          </w:p>
        </w:tc>
      </w:tr>
      <w:tr>
        <w:tc>
          <w:tcPr>
            <w:tcW w:type="dxa" w:w="2160"/>
          </w:tcPr>
          <w:p>
            <w:r>
              <w:rPr>
                <w:rFonts w:ascii="Calibri" w:hAnsi="Calibri"/>
                <w:sz w:val="20"/>
              </w:rPr>
              <w:t>Forrester</w:t>
            </w:r>
          </w:p>
        </w:tc>
        <w:tc>
          <w:tcPr>
            <w:tcW w:type="dxa" w:w="2160"/>
          </w:tcPr>
          <w:p>
            <w:r>
              <w:rPr>
                <w:rFonts w:ascii="Calibri" w:hAnsi="Calibri"/>
                <w:sz w:val="20"/>
              </w:rPr>
              <w:t>Top AI Use Cases for AR Automation 2025</w:t>
            </w:r>
          </w:p>
        </w:tc>
        <w:tc>
          <w:tcPr>
            <w:tcW w:type="dxa" w:w="2160"/>
          </w:tcPr>
          <w:p>
            <w:r>
              <w:rPr>
                <w:rFonts w:ascii="Calibri" w:hAnsi="Calibri"/>
                <w:sz w:val="20"/>
              </w:rPr>
              <w:t>https://www.forrester.com/blogs/top-ai-use-cases-for-accounts-receivable-automation-in-2025/</w:t>
            </w:r>
          </w:p>
        </w:tc>
        <w:tc>
          <w:tcPr>
            <w:tcW w:type="dxa" w:w="2160"/>
          </w:tcPr>
          <w:p>
            <w:r>
              <w:rPr>
                <w:rFonts w:ascii="Calibri" w:hAnsi="Calibri"/>
                <w:sz w:val="20"/>
              </w:rPr>
              <w:t>2025</w:t>
            </w:r>
          </w:p>
        </w:tc>
      </w:tr>
      <w:tr>
        <w:tc>
          <w:tcPr>
            <w:tcW w:type="dxa" w:w="2160"/>
          </w:tcPr>
          <w:p>
            <w:r>
              <w:rPr>
                <w:rFonts w:ascii="Calibri" w:hAnsi="Calibri"/>
                <w:sz w:val="20"/>
              </w:rPr>
              <w:t>PYMNTS</w:t>
            </w:r>
          </w:p>
        </w:tc>
        <w:tc>
          <w:tcPr>
            <w:tcW w:type="dxa" w:w="2160"/>
          </w:tcPr>
          <w:p>
            <w:r>
              <w:rPr>
                <w:rFonts w:ascii="Calibri" w:hAnsi="Calibri"/>
                <w:sz w:val="20"/>
              </w:rPr>
              <w:t>Accounts Receivable Gets an AI Upgrade</w:t>
            </w:r>
          </w:p>
        </w:tc>
        <w:tc>
          <w:tcPr>
            <w:tcW w:type="dxa" w:w="2160"/>
          </w:tcPr>
          <w:p>
            <w:r>
              <w:rPr>
                <w:rFonts w:ascii="Calibri" w:hAnsi="Calibri"/>
                <w:sz w:val="20"/>
              </w:rPr>
              <w:t>https://www.pymnts.com/accounts-receivable/2026/accounts-receivable-gets-an-ai-upgrade/</w:t>
            </w:r>
          </w:p>
        </w:tc>
        <w:tc>
          <w:tcPr>
            <w:tcW w:type="dxa" w:w="2160"/>
          </w:tcPr>
          <w:p>
            <w:r>
              <w:rPr>
                <w:rFonts w:ascii="Calibri" w:hAnsi="Calibri"/>
                <w:sz w:val="20"/>
              </w:rPr>
              <w:t>2026</w:t>
            </w:r>
          </w:p>
        </w:tc>
      </w:tr>
      <w:tr>
        <w:tc>
          <w:tcPr>
            <w:tcW w:type="dxa" w:w="2160"/>
          </w:tcPr>
          <w:p>
            <w:r>
              <w:rPr>
                <w:rFonts w:ascii="Calibri" w:hAnsi="Calibri"/>
                <w:sz w:val="20"/>
              </w:rPr>
              <w:t>Billtrust</w:t>
            </w:r>
          </w:p>
        </w:tc>
        <w:tc>
          <w:tcPr>
            <w:tcW w:type="dxa" w:w="2160"/>
          </w:tcPr>
          <w:p>
            <w:r>
              <w:rPr>
                <w:rFonts w:ascii="Calibri" w:hAnsi="Calibri"/>
                <w:sz w:val="20"/>
              </w:rPr>
              <w:t>AI-powered AR Software Solutions</w:t>
            </w:r>
          </w:p>
        </w:tc>
        <w:tc>
          <w:tcPr>
            <w:tcW w:type="dxa" w:w="2160"/>
          </w:tcPr>
          <w:p>
            <w:r>
              <w:rPr>
                <w:rFonts w:ascii="Calibri" w:hAnsi="Calibri"/>
                <w:sz w:val="20"/>
              </w:rPr>
              <w:t>https://www.billtrust.com/</w:t>
            </w:r>
          </w:p>
        </w:tc>
        <w:tc>
          <w:tcPr>
            <w:tcW w:type="dxa" w:w="2160"/>
          </w:tcPr>
          <w:p>
            <w:r>
              <w:rPr>
                <w:rFonts w:ascii="Calibri" w:hAnsi="Calibri"/>
                <w:sz w:val="20"/>
              </w:rPr>
              <w:t>2026</w:t>
            </w:r>
          </w:p>
        </w:tc>
      </w:tr>
    </w:tbl>
    <w:p/>
    <w:p>
      <w:pPr>
        <w:pStyle w:val="Heading2"/>
      </w:pPr>
      <w:r>
        <w:t>Frameworks &amp; Industry Analysis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Source</w:t>
            </w:r>
          </w:p>
        </w:tc>
        <w:tc>
          <w:tcPr>
            <w:tcW w:type="dxa" w:w="2160"/>
          </w:tcPr>
          <w:p>
            <w:r>
              <w:rPr>
                <w:rFonts w:ascii="Calibri" w:hAnsi="Calibri"/>
                <w:b/>
                <w:sz w:val="20"/>
              </w:rPr>
              <w:t>Title</w:t>
            </w:r>
          </w:p>
        </w:tc>
        <w:tc>
          <w:tcPr>
            <w:tcW w:type="dxa" w:w="2160"/>
          </w:tcPr>
          <w:p>
            <w:r>
              <w:rPr>
                <w:rFonts w:ascii="Calibri" w:hAnsi="Calibri"/>
                <w:b/>
                <w:sz w:val="20"/>
              </w:rPr>
              <w:t>URL</w:t>
            </w:r>
          </w:p>
        </w:tc>
        <w:tc>
          <w:tcPr>
            <w:tcW w:type="dxa" w:w="2160"/>
          </w:tcPr>
          <w:p>
            <w:r>
              <w:rPr>
                <w:rFonts w:ascii="Calibri" w:hAnsi="Calibri"/>
                <w:b/>
                <w:sz w:val="20"/>
              </w:rPr>
              <w:t>Date</w:t>
            </w:r>
          </w:p>
        </w:tc>
      </w:tr>
      <w:tr>
        <w:tc>
          <w:tcPr>
            <w:tcW w:type="dxa" w:w="2160"/>
          </w:tcPr>
          <w:p>
            <w:r>
              <w:rPr>
                <w:rFonts w:ascii="Calibri" w:hAnsi="Calibri"/>
                <w:sz w:val="20"/>
              </w:rPr>
              <w:t>Bain &amp; Company</w:t>
            </w:r>
          </w:p>
        </w:tc>
        <w:tc>
          <w:tcPr>
            <w:tcW w:type="dxa" w:w="2160"/>
          </w:tcPr>
          <w:p>
            <w:r>
              <w:rPr>
                <w:rFonts w:ascii="Calibri" w:hAnsi="Calibri"/>
                <w:sz w:val="20"/>
              </w:rPr>
              <w:t>Will Agentic AI Disrupt SaaS?</w:t>
            </w:r>
          </w:p>
        </w:tc>
        <w:tc>
          <w:tcPr>
            <w:tcW w:type="dxa" w:w="2160"/>
          </w:tcPr>
          <w:p>
            <w:r>
              <w:rPr>
                <w:rFonts w:ascii="Calibri" w:hAnsi="Calibri"/>
                <w:sz w:val="20"/>
              </w:rPr>
              <w:t>https://www.bain.com/insights/will-agentic-ai-disrupt-saas-technology-report-2025/</w:t>
            </w:r>
          </w:p>
        </w:tc>
        <w:tc>
          <w:tcPr>
            <w:tcW w:type="dxa" w:w="2160"/>
          </w:tcPr>
          <w:p>
            <w:r>
              <w:rPr>
                <w:rFonts w:ascii="Calibri" w:hAnsi="Calibri"/>
                <w:sz w:val="20"/>
              </w:rPr>
              <w:t>2025</w:t>
            </w:r>
          </w:p>
        </w:tc>
      </w:tr>
      <w:tr>
        <w:tc>
          <w:tcPr>
            <w:tcW w:type="dxa" w:w="2160"/>
          </w:tcPr>
          <w:p>
            <w:r>
              <w:rPr>
                <w:rFonts w:ascii="Calibri" w:hAnsi="Calibri"/>
                <w:sz w:val="20"/>
              </w:rPr>
              <w:t>SaaS Capital</w:t>
            </w:r>
          </w:p>
        </w:tc>
        <w:tc>
          <w:tcPr>
            <w:tcW w:type="dxa" w:w="2160"/>
          </w:tcPr>
          <w:p>
            <w:r>
              <w:rPr>
                <w:rFonts w:ascii="Calibri" w:hAnsi="Calibri"/>
                <w:sz w:val="20"/>
              </w:rPr>
              <w:t>Revenue Per Employee Benchmarks 2025</w:t>
            </w:r>
          </w:p>
        </w:tc>
        <w:tc>
          <w:tcPr>
            <w:tcW w:type="dxa" w:w="2160"/>
          </w:tcPr>
          <w:p>
            <w:r>
              <w:rPr>
                <w:rFonts w:ascii="Calibri" w:hAnsi="Calibri"/>
                <w:sz w:val="20"/>
              </w:rPr>
              <w:t>https://www.saas-capital.com/blog-posts/revenue-per-employee-benchmarks-for-private-saas-companies/</w:t>
            </w:r>
          </w:p>
        </w:tc>
        <w:tc>
          <w:tcPr>
            <w:tcW w:type="dxa" w:w="2160"/>
          </w:tcPr>
          <w:p>
            <w:r>
              <w:rPr>
                <w:rFonts w:ascii="Calibri" w:hAnsi="Calibri"/>
                <w:sz w:val="20"/>
              </w:rPr>
              <w:t>2025</w:t>
            </w:r>
          </w:p>
        </w:tc>
      </w:tr>
      <w:tr>
        <w:tc>
          <w:tcPr>
            <w:tcW w:type="dxa" w:w="2160"/>
          </w:tcPr>
          <w:p>
            <w:r>
              <w:rPr>
                <w:rFonts w:ascii="Calibri" w:hAnsi="Calibri"/>
                <w:sz w:val="20"/>
              </w:rPr>
              <w:t>Google Developers Blog</w:t>
            </w:r>
          </w:p>
        </w:tc>
        <w:tc>
          <w:tcPr>
            <w:tcW w:type="dxa" w:w="2160"/>
          </w:tcPr>
          <w:p>
            <w:r>
              <w:rPr>
                <w:rFonts w:ascii="Calibri" w:hAnsi="Calibri"/>
                <w:sz w:val="20"/>
              </w:rPr>
              <w:t>Agent Development Kit: Multi-Agent Applications</w:t>
            </w:r>
          </w:p>
        </w:tc>
        <w:tc>
          <w:tcPr>
            <w:tcW w:type="dxa" w:w="2160"/>
          </w:tcPr>
          <w:p>
            <w:r>
              <w:rPr>
                <w:rFonts w:ascii="Calibri" w:hAnsi="Calibri"/>
                <w:sz w:val="20"/>
              </w:rPr>
              <w:t>https://developers.googleblog.com/en/agent-development-kit-easy-to-build-multi-agent-applications/</w:t>
            </w:r>
          </w:p>
        </w:tc>
        <w:tc>
          <w:tcPr>
            <w:tcW w:type="dxa" w:w="2160"/>
          </w:tcPr>
          <w:p>
            <w:r>
              <w:rPr>
                <w:rFonts w:ascii="Calibri" w:hAnsi="Calibri"/>
                <w:sz w:val="20"/>
              </w:rPr>
              <w:t>2026</w:t>
            </w:r>
          </w:p>
        </w:tc>
      </w:tr>
      <w:tr>
        <w:tc>
          <w:tcPr>
            <w:tcW w:type="dxa" w:w="2160"/>
          </w:tcPr>
          <w:p>
            <w:r>
              <w:rPr>
                <w:rFonts w:ascii="Calibri" w:hAnsi="Calibri"/>
                <w:sz w:val="20"/>
              </w:rPr>
              <w:t>Google Cloud</w:t>
            </w:r>
          </w:p>
        </w:tc>
        <w:tc>
          <w:tcPr>
            <w:tcW w:type="dxa" w:w="2160"/>
          </w:tcPr>
          <w:p>
            <w:r>
              <w:rPr>
                <w:rFonts w:ascii="Calibri" w:hAnsi="Calibri"/>
                <w:sz w:val="20"/>
              </w:rPr>
              <w:t>ADK Enterprise Agent Platform</w:t>
            </w:r>
          </w:p>
        </w:tc>
        <w:tc>
          <w:tcPr>
            <w:tcW w:type="dxa" w:w="2160"/>
          </w:tcPr>
          <w:p>
            <w:r>
              <w:rPr>
                <w:rFonts w:ascii="Calibri" w:hAnsi="Calibri"/>
                <w:sz w:val="20"/>
              </w:rPr>
              <w:t>https://docs.cloud.google.com/gemini-enterprise-agent-platform/build/adk</w:t>
            </w:r>
          </w:p>
        </w:tc>
        <w:tc>
          <w:tcPr>
            <w:tcW w:type="dxa" w:w="2160"/>
          </w:tcPr>
          <w:p>
            <w:r>
              <w:rPr>
                <w:rFonts w:ascii="Calibri" w:hAnsi="Calibri"/>
                <w:sz w:val="20"/>
              </w:rPr>
              <w:t>2026</w:t>
            </w:r>
          </w:p>
        </w:tc>
      </w:tr>
      <w:tr>
        <w:tc>
          <w:tcPr>
            <w:tcW w:type="dxa" w:w="2160"/>
          </w:tcPr>
          <w:p>
            <w:r>
              <w:rPr>
                <w:rFonts w:ascii="Calibri" w:hAnsi="Calibri"/>
                <w:sz w:val="20"/>
              </w:rPr>
              <w:t>ERP Today</w:t>
            </w:r>
          </w:p>
        </w:tc>
        <w:tc>
          <w:tcPr>
            <w:tcW w:type="dxa" w:w="2160"/>
          </w:tcPr>
          <w:p>
            <w:r>
              <w:rPr>
                <w:rFonts w:ascii="Calibri" w:hAnsi="Calibri"/>
                <w:sz w:val="20"/>
              </w:rPr>
              <w:t>Cost Pressures Reshape ERP and AI Priorities 2026</w:t>
            </w:r>
          </w:p>
        </w:tc>
        <w:tc>
          <w:tcPr>
            <w:tcW w:type="dxa" w:w="2160"/>
          </w:tcPr>
          <w:p>
            <w:r>
              <w:rPr>
                <w:rFonts w:ascii="Calibri" w:hAnsi="Calibri"/>
                <w:sz w:val="20"/>
              </w:rPr>
              <w:t>https://erp.today/erp-ai-priorities-2026-cost-pressure-sapinsider-benchmark/</w:t>
            </w:r>
          </w:p>
        </w:tc>
        <w:tc>
          <w:tcPr>
            <w:tcW w:type="dxa" w:w="2160"/>
          </w:tcPr>
          <w:p>
            <w:r>
              <w:rPr>
                <w:rFonts w:ascii="Calibri" w:hAnsi="Calibri"/>
                <w:sz w:val="20"/>
              </w:rPr>
              <w:t>2026</w:t>
            </w:r>
          </w:p>
        </w:tc>
      </w:tr>
      <w:tr>
        <w:tc>
          <w:tcPr>
            <w:tcW w:type="dxa" w:w="2160"/>
          </w:tcPr>
          <w:p>
            <w:r>
              <w:rPr>
                <w:rFonts w:ascii="Calibri" w:hAnsi="Calibri"/>
                <w:sz w:val="20"/>
              </w:rPr>
              <w:t>SAP Africa News Center</w:t>
            </w:r>
          </w:p>
        </w:tc>
        <w:tc>
          <w:tcPr>
            <w:tcW w:type="dxa" w:w="2160"/>
          </w:tcPr>
          <w:p>
            <w:r>
              <w:rPr>
                <w:rFonts w:ascii="Calibri" w:hAnsi="Calibri"/>
                <w:sz w:val="20"/>
              </w:rPr>
              <w:t>Autonomous Enterprise to Define Competitive Edge 2026</w:t>
            </w:r>
          </w:p>
        </w:tc>
        <w:tc>
          <w:tcPr>
            <w:tcW w:type="dxa" w:w="2160"/>
          </w:tcPr>
          <w:p>
            <w:r>
              <w:rPr>
                <w:rFonts w:ascii="Calibri" w:hAnsi="Calibri"/>
                <w:sz w:val="20"/>
              </w:rPr>
              <w:t>https://news.sap.com/africa/2026/02/autonomous-enterprise-to-define-competitive-edge-in-2026/</w:t>
            </w:r>
          </w:p>
        </w:tc>
        <w:tc>
          <w:tcPr>
            <w:tcW w:type="dxa" w:w="2160"/>
          </w:tcPr>
          <w:p>
            <w:r>
              <w:rPr>
                <w:rFonts w:ascii="Calibri" w:hAnsi="Calibri"/>
                <w:sz w:val="20"/>
              </w:rPr>
              <w:t>2026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