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00467F"/>
          <w:sz w:val="26"/>
        </w:rPr>
        <w:t>EXECUTIVE BRIEF: AGENT WORKFLOWS FOR HEALTHCARE</w:t>
      </w:r>
    </w:p>
    <w:p>
      <w:pPr>
        <w:spacing w:before="0" w:after="120"/>
      </w:pPr>
      <w:r>
        <w:rPr>
          <w:rFonts w:ascii="Calibri" w:hAnsi="Calibri"/>
          <w:b w:val="0"/>
          <w:color w:val="646464"/>
          <w:sz w:val="18"/>
        </w:rPr>
        <w:t>Focus: Prior Authorization Automation  |  Date: June 20, 2026  |  10 references</w:t>
      </w:r>
    </w:p>
    <w:p>
      <w:pPr>
        <w:spacing w:before="0" w:after="120"/>
        <w:pBdr>
          <w:bottom w:val="single" w:sz="6" w:space="1" w:color="00467F"/>
        </w:pBdr>
      </w:pP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RECOMMENDATION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Deploy prior authorization (PA) AI agents across payer and provider workflows. Target: 60% reduction in PA processing time and $800K/year in administrative labor savings by Q4 2026. The CMS ePA API mandate (2027) makes this a compliance requirement, not a pilot.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THE SIGNAL — WHY NOW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Commure raised $70M at a $7B valuation in May 2026, explicitly targeting the $800B–$1T annual U.S. healthcare administrative labor market with AI agents. One week earlier, Cognizant opened TriZetto Unify to AI agents — putting prior authorization first — citing the CMS Interoperability and Prior Authorization Final Rule (payer compliance 2026; ePA API mandates 2027). Two of the largest healthcare IT platforms declared the same AI-agent category in 30 days. Organizations that wait 6 months lose compliance runway and first-mover cost advantage.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THE OPPORTUNITY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0"/>
        </w:rPr>
        <w:t>$155B annual revenue opportunity in healthcare services AI agents (PitchBook Q4 2025). $300B+ in annual administrative waste addressable by AI. PA is the highest-friction, highest-volume wedge.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0"/>
        </w:rPr>
        <w:t>Sequoia (March 2026): healthcare revenue cycle ($50–80B outsourced) is the prime autopilot target — rules-based, outcome-based pricing already mature, displacement of offshore BPO is direct.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0"/>
        </w:rPr>
        <w:t>a16z thesis: AI agents tap labor budgets, not IT budgets — order-of-magnitude larger TAM than traditional healthcare IT SaaS. Bessemer: health AI companies hitting $100M ARR in &lt;5 years vs. 10+ for legacy HIT.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SPECIFIC EXAMPLE: PRIOR AUTHORIZATION AGENT WORKFLOW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PrescriberPoint deployed an agentic PA workflow embedded directly in the EMR prescribing flow. The agent runs five sequential steps autonomously: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Step 1 — Auth check:</w:t>
      </w:r>
      <w:r>
        <w:rPr>
          <w:rFonts w:ascii="Calibri" w:hAnsi="Calibri"/>
          <w:b w:val="0"/>
          <w:sz w:val="20"/>
        </w:rPr>
        <w:t xml:space="preserve"> Queries payer via HL7 FHIR API: 'Is PA required for this script?'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Step 2 — Doc scoping:</w:t>
      </w:r>
      <w:r>
        <w:rPr>
          <w:rFonts w:ascii="Calibri" w:hAnsi="Calibri"/>
          <w:b w:val="0"/>
          <w:sz w:val="20"/>
        </w:rPr>
        <w:t xml:space="preserve"> Retrieves payer-specific documentation requirements in real time.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Step 3 — Auto-population:</w:t>
      </w:r>
      <w:r>
        <w:rPr>
          <w:rFonts w:ascii="Calibri" w:hAnsi="Calibri"/>
          <w:b w:val="0"/>
          <w:sz w:val="20"/>
        </w:rPr>
        <w:t xml:space="preserve"> Reads clinical records, answers up to 163 payer questions without clinician input.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Step 4 — Confidence routing:</w:t>
      </w:r>
      <w:r>
        <w:rPr>
          <w:rFonts w:ascii="Calibri" w:hAnsi="Calibri"/>
          <w:b w:val="0"/>
          <w:sz w:val="20"/>
        </w:rPr>
        <w:t xml:space="preserve"> High-confidence submissions auto-submit. Complex cases escalate with full reasoning.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Step 5 — Result:</w:t>
      </w:r>
      <w:r>
        <w:rPr>
          <w:rFonts w:ascii="Calibri" w:hAnsi="Calibri"/>
          <w:b w:val="0"/>
          <w:sz w:val="20"/>
        </w:rPr>
        <w:t xml:space="preserve"> 94.5% clinician acceptance rate across 1,289 PA submissions. Therapy initiation in 48 hours vs. weeks.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Innovaccer Galaxy UM uses the same pattern at payer scale with an 'auto-approve, never auto-deny' governance principle — preserving clinical oversight while removing the human bottleneck from routine approvals.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WHO IS WINNING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467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484"/>
            <w:shd w:val="clear" w:color="auto" w:fill="00467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Valuation / Raised</w:t>
            </w:r>
          </w:p>
        </w:tc>
        <w:tc>
          <w:tcPr>
            <w:tcW w:type="dxa" w:w="2484"/>
            <w:shd w:val="clear" w:color="auto" w:fill="00467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Metric</w:t>
            </w:r>
          </w:p>
        </w:tc>
        <w:tc>
          <w:tcPr>
            <w:tcW w:type="dxa" w:w="2484"/>
            <w:shd w:val="clear" w:color="auto" w:fill="00467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Moat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Commure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$7B / $70M (May 2026)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HCA ($100B biller) partner; self-improving overnight claims models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Full-stack: RCM + ambient doc + voice agents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Abridge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$5.3B / $300M Series 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$117M ARR; 150+ health systems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Epic integration + a16z backing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Hippocratic AI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$3.5B / $404M total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115M patient interactions; 0 safety issues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Safety architecture; 50 large health system partners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Anterior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$64M raised (Sequoia)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90% PA workflow automation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Clinical AI brain across full health plan ops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Autonomize AI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Backed by Cigna Ventures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 of 5 largest US health enterprises in prod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Pre-built governed agents; 55% faster clinical reviews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THE RISK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Mirage PMF: note-reduction demos ≠ workflow automation at scale. Organizations deploying general-purpose LLMs without clinical tuning, FHIR integration, or audit trails will accumulate HIPAA liability — ePHI hallucinated into wrong patient charts is a breach event, not a UX bug. HHS now mandates AI be included in HIPAA Security Risk Analyses; 48% of health orgs still have no AI approval process (HIMSS 2025). The risk is not the AI — it is deploying without governance.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FRAMEWORK FIT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Copilot → Autopilot:</w:t>
      </w:r>
      <w:r>
        <w:rPr>
          <w:rFonts w:ascii="Calibri" w:hAnsi="Calibri"/>
          <w:b w:val="0"/>
          <w:sz w:val="20"/>
        </w:rPr>
        <w:t xml:space="preserve"> Prior auth is moving from copilot (AI assists human reviewer) to autopilot (AI auto-approves; human reviews denials only). Innovaccer's 'auto-approve, never auto-deny' is the governance design pattern.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Intelligence Ratio:</w:t>
      </w:r>
      <w:r>
        <w:rPr>
          <w:rFonts w:ascii="Calibri" w:hAnsi="Calibri"/>
          <w:b w:val="0"/>
          <w:sz w:val="20"/>
        </w:rPr>
        <w:t xml:space="preserve"> High. PA is rules-based (ICD-10 codes + payer policy), structured workflow, auditable by design. Clinical judgement lives in the denial escalation layer, not the submission layer.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>Verdict:</w:t>
      </w:r>
      <w:r>
        <w:rPr>
          <w:rFonts w:ascii="Calibri" w:hAnsi="Calibri"/>
          <w:b w:val="0"/>
          <w:sz w:val="20"/>
        </w:rPr>
        <w:t xml:space="preserve"> GO. CMS mandate creates forced adoption by 2027. Sequoia named PA as the prime autopilot wedge. Three companies already operating at enterprise scale.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NAMED NEXT ACTION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Chief Medical Officer + VP Revenue Cycle: approve $200K pilot budget by July 11, 2026. Shortlist Anterior and Autonomize AI for 90-day PA pilot. Assign clinical informatics lead by July 18. Pilot close: September 30, 2026. Success gate: 50%+ PA processing time reduction on pilot cohort.</w:t>
      </w:r>
    </w:p>
    <w:p>
      <w:pPr>
        <w:spacing w:before="160" w:after="40"/>
      </w:pPr>
      <w:r>
        <w:rPr>
          <w:rFonts w:ascii="Calibri" w:hAnsi="Calibri"/>
          <w:b/>
          <w:color w:val="00467F"/>
          <w:sz w:val="24"/>
        </w:rPr>
        <w:t>ALTERNATIVE REJECTED</w:t>
      </w:r>
    </w:p>
    <w:p>
      <w:pPr>
        <w:spacing w:before="20" w:after="20"/>
      </w:pPr>
      <w:r>
        <w:rPr>
          <w:rFonts w:ascii="Calibri" w:hAnsi="Calibri"/>
          <w:b w:val="0"/>
          <w:sz w:val="20"/>
        </w:rPr>
        <w:t>Build in-house on a general-purpose LLM. Rejected: lacks payer-specific FHIR integrations, clinical tuning, and audit trail infrastructure. 18-month build timeline misses the 2027 CMS deadline.</w:t>
      </w:r>
    </w:p>
    <w:p>
      <w:pPr>
        <w:spacing w:before="160" w:after="40"/>
      </w:pPr>
      <w:r>
        <w:rPr>
          <w:rFonts w:ascii="Calibri" w:hAnsi="Calibri"/>
          <w:b/>
          <w:color w:val="646464"/>
          <w:sz w:val="18"/>
        </w:rPr>
        <w:t>REFERENCES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[1] Commure $70M at $7B — tbpndigest.com (May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[2] Cognizant TriZetto Unify opens to AI agents — news.cognizant.com (May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[3] Anterior $40M Series B, Sequoia — medcitynews.com (Feb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[4] PrescriberPoint 94.5% acceptance rate — prnewswire.com (Apr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[5] Autonomize Intelligence Platform v3 — autonomize.ai (Apr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[6] Innovaccer Galaxy UM — innovaccer.com (Mar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[7] Abridge $5.3B valuation, $117M ARR — techcrunch.com (Jun 2025)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[8] Hippocratic AI Series C $3.5B — businesswire.com (Nov 2025)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[9] Sequoia 'Services: The New Software' — sequoiacap.com (Mar 2026)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6"/>
        </w:rPr>
        <w:t>[10] PitchBook Healthcare AI Agents $155B — pitchbook.com (Dec 2025)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