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4A085"/>
          <w:sz w:val="20"/>
        </w:rPr>
        <w:t>EXECUTIVE BRIEF</w:t>
      </w:r>
    </w:p>
    <w:p>
      <w:pPr>
        <w:spacing w:after="120"/>
      </w:pPr>
      <w:r>
        <w:rPr>
          <w:rFonts w:ascii="Calibri" w:hAnsi="Calibri"/>
          <w:b/>
          <w:color w:val="1A2754"/>
          <w:sz w:val="36"/>
        </w:rPr>
        <w:t>AI for Plant Operations: A 12-Week Path to Measurable ROI</w:t>
      </w:r>
    </w:p>
    <w:p>
      <w:pPr>
        <w:spacing w:after="40"/>
      </w:pPr>
      <w:r>
        <w:rPr>
          <w:rFonts w:ascii="Calibri" w:hAnsi="Calibri"/>
          <w:i/>
          <w:color w:val="64748B"/>
          <w:sz w:val="18"/>
        </w:rPr>
        <w:t>To: Hyundai · Plant Directors · Operations Leaders · Quality Management   |   From: PeopleTech · AI Manufacturing Practice   |   May 2026</w:t>
      </w:r>
    </w:p>
    <w:p>
      <w:pPr>
        <w:spacing w:after="160"/>
      </w:pPr>
      <w:r>
        <w:rPr>
          <w:rFonts w:ascii="Calibri" w:hAnsi="Calibri"/>
          <w:i/>
          <w:color w:val="64748B"/>
          <w:sz w:val="18"/>
        </w:rPr>
        <w:t>Companion to the 15-slide deck "AI for Plant Operations · Hyundai × PeopleTech".</w:t>
      </w:r>
    </w:p>
    <w:p>
      <w:pPr>
        <w:spacing w:before="0" w:after="120"/>
        <w:pBdr>
          <w:bottom w:val="single" w:sz="12" w:space="1" w:color="14A085"/>
        </w:pBdr>
      </w:pPr>
    </w:p>
    <w:p>
      <w:pPr>
        <w:spacing w:before="160" w:after="60"/>
        <w:pBdr>
          <w:bottom w:val="single" w:sz="6" w:space="1" w:color="14A085"/>
        </w:pBdr>
      </w:pPr>
      <w:r>
        <w:rPr>
          <w:rFonts w:ascii="Calibri" w:hAnsi="Calibri"/>
          <w:b/>
          <w:color w:val="1A2754"/>
          <w:sz w:val="22"/>
        </w:rPr>
        <w:t>EXECUTIVE SUMMARY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Automotive manufacturing has crossed an AI inflection point. Edge AI hardware is mature, hyperscaler vision and ML platforms are production-grade, and three years of peer-OEM deployments now provide a settled answer to "does it work?" — it does, with ROI ranging from 3:1 to over 5:1 within the first year.</w:t>
      </w:r>
    </w:p>
    <w:p>
      <w:pPr>
        <w:spacing w:after="80" w:line="288" w:lineRule="auto"/>
      </w:pPr>
      <w:r>
        <w:rPr>
          <w:rFonts w:ascii="Calibri" w:hAnsi="Calibri"/>
          <w:b w:val="0"/>
          <w:color w:val="1E293B"/>
          <w:sz w:val="21"/>
        </w:rPr>
        <w:t xml:space="preserve">The decision in front of Hyundai is no longer whether to deploy AI on the plant floor, but </w:t>
      </w:r>
      <w:r>
        <w:rPr>
          <w:rFonts w:ascii="Calibri" w:hAnsi="Calibri"/>
          <w:b/>
          <w:color w:val="1E293B"/>
          <w:sz w:val="21"/>
        </w:rPr>
        <w:t>where to start</w:t>
      </w:r>
      <w:r>
        <w:rPr>
          <w:rFonts w:ascii="Calibri" w:hAnsi="Calibri"/>
          <w:b w:val="0"/>
          <w:color w:val="1E293B"/>
          <w:sz w:val="21"/>
        </w:rPr>
        <w:t xml:space="preserve">, </w:t>
      </w:r>
      <w:r>
        <w:rPr>
          <w:rFonts w:ascii="Calibri" w:hAnsi="Calibri"/>
          <w:b/>
          <w:color w:val="1E293B"/>
          <w:sz w:val="21"/>
        </w:rPr>
        <w:t>how fast to prove value</w:t>
      </w:r>
      <w:r>
        <w:rPr>
          <w:rFonts w:ascii="Calibri" w:hAnsi="Calibri"/>
          <w:b w:val="0"/>
          <w:color w:val="1E293B"/>
          <w:sz w:val="21"/>
        </w:rPr>
        <w:t xml:space="preserve">, and </w:t>
      </w:r>
      <w:r>
        <w:rPr>
          <w:rFonts w:ascii="Calibri" w:hAnsi="Calibri"/>
          <w:b/>
          <w:color w:val="1E293B"/>
          <w:sz w:val="21"/>
        </w:rPr>
        <w:t>which partner can execute against Hyundai's uptime and quality bars without disrupting the line</w:t>
      </w:r>
      <w:r>
        <w:rPr>
          <w:rFonts w:ascii="Calibri" w:hAnsi="Calibri"/>
          <w:b w:val="0"/>
          <w:color w:val="1E293B"/>
          <w:sz w:val="21"/>
        </w:rPr>
        <w:t xml:space="preserve">. This brief recommends a </w:t>
      </w:r>
      <w:r>
        <w:rPr>
          <w:rFonts w:ascii="Calibri" w:hAnsi="Calibri"/>
          <w:b/>
          <w:color w:val="1E293B"/>
          <w:sz w:val="21"/>
        </w:rPr>
        <w:t>12-week pilot anchored on two use cases</w:t>
      </w:r>
      <w:r>
        <w:rPr>
          <w:rFonts w:ascii="Calibri" w:hAnsi="Calibri"/>
          <w:b w:val="0"/>
          <w:color w:val="1E293B"/>
          <w:sz w:val="21"/>
        </w:rPr>
        <w:t xml:space="preserve"> — AI-based Visual Inspection and Predictive Maintenance — that map directly to Hyundai's stated key areas, carry the highest peer-validated ROI, and create the data and integration scaffolding for the remaining six use cases detailed in the accompanying deck.</w:t>
      </w:r>
    </w:p>
    <w:p>
      <w:pPr>
        <w:spacing w:before="160" w:after="60"/>
        <w:pBdr>
          <w:bottom w:val="single" w:sz="6" w:space="1" w:color="14A085"/>
        </w:pBdr>
      </w:pPr>
      <w:r>
        <w:rPr>
          <w:rFonts w:ascii="Calibri" w:hAnsi="Calibri"/>
          <w:b/>
          <w:color w:val="1A2754"/>
          <w:sz w:val="22"/>
        </w:rPr>
        <w:t>THE OPPORTUNITY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 w:val="0"/>
          <w:color w:val="1E293B"/>
          <w:sz w:val="21"/>
        </w:rPr>
        <w:t>Across the eight use cases mapped to Hyundai's key areas, the value pool concentrates in five drivers — each backed by measured outcomes from comparable production deployments: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Quality escapes &amp; warranty exposure. </w:t>
      </w:r>
      <w:r>
        <w:rPr>
          <w:rFonts w:ascii="Calibri" w:hAnsi="Calibri"/>
          <w:b w:val="0"/>
          <w:color w:val="1E293B"/>
          <w:sz w:val="20"/>
        </w:rPr>
        <w:t>AI Visual Inspection cuts escape defects by up to 60% and rework cost by 45%. Across paint, weld, and assembly surfaces of a typical OEM line, this compounds into eight- to nine-figure annual avoided cost.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Unplanned downtime. </w:t>
      </w:r>
      <w:r>
        <w:rPr>
          <w:rFonts w:ascii="Calibri" w:hAnsi="Calibri"/>
          <w:b w:val="0"/>
          <w:color w:val="1E293B"/>
          <w:sz w:val="20"/>
        </w:rPr>
        <w:t>Predictive Maintenance reduces unplanned downtime by 40% on average, with 5:1 measured ROI in year one. At industry-standard downtime cost of $22,000/minute, even single-line gains pay back the program multiple times over.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Variant &amp; fitment errors. </w:t>
      </w:r>
      <w:r>
        <w:rPr>
          <w:rFonts w:ascii="Calibri" w:hAnsi="Calibri"/>
          <w:b w:val="0"/>
          <w:color w:val="1E293B"/>
          <w:sz w:val="20"/>
        </w:rPr>
        <w:t>Variant Confirmation cuts wrong-variant assembly by 90%; Seating &amp; Component Validation cuts fitment errors by 85% — eliminating an entire class of recall risk before vehicles leave the station.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SOP &amp; safety compliance. </w:t>
      </w:r>
      <w:r>
        <w:rPr>
          <w:rFonts w:ascii="Calibri" w:hAnsi="Calibri"/>
          <w:b w:val="0"/>
          <w:color w:val="1E293B"/>
          <w:sz w:val="20"/>
        </w:rPr>
        <w:t>Vision + pose estimation drives SOP deviations down 65% and safety incidents down 55%, with audit-ready EHS reporting that materially reduces regulatory exposure.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Traceability &amp; recall response. </w:t>
      </w:r>
      <w:r>
        <w:rPr>
          <w:rFonts w:ascii="Calibri" w:hAnsi="Calibri"/>
          <w:b w:val="0"/>
          <w:color w:val="1E293B"/>
          <w:sz w:val="20"/>
        </w:rPr>
        <w:t>Full digital genealogy cuts recall investigation from weeks to days — turning a compliance liability into a competitive advantage.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/>
          <w:color w:val="475569"/>
          <w:sz w:val="20"/>
        </w:rPr>
        <w:t>These are not projections. They are outcome ranges from in-production AI deployments at Tier-1 OEMs, EV manufacturers, and adjacent automotive supply industries.</w:t>
      </w:r>
    </w:p>
    <w:p>
      <w:pPr>
        <w:spacing w:before="160" w:after="60"/>
        <w:pBdr>
          <w:bottom w:val="single" w:sz="6" w:space="1" w:color="14A085"/>
        </w:pBdr>
      </w:pPr>
      <w:r>
        <w:rPr>
          <w:rFonts w:ascii="Calibri" w:hAnsi="Calibri"/>
          <w:b/>
          <w:color w:val="1A2754"/>
          <w:sz w:val="22"/>
        </w:rPr>
        <w:t>WHY PEOPLETECH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A complement, not a replacement, for Hyundai's AI bets. </w:t>
      </w:r>
      <w:r>
        <w:rPr>
          <w:rFonts w:ascii="Calibri" w:hAnsi="Calibri"/>
          <w:b w:val="0"/>
          <w:color w:val="1E293B"/>
          <w:sz w:val="21"/>
        </w:rPr>
        <w:t>Hyundai Motor Group already operates HMGICS Singapore as a smart-factory testbed and has invested in AI through AIRS Company and Boston Dynamics. PeopleTech's role is to bring those innovations to production scale at high-volume plants — Ulsan, Asan, HMGMA Metaplant America, HMMA, HMMC, HMI — and operationalize AI on lines already running today.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Manufacturing domain depth. </w:t>
      </w:r>
      <w:r>
        <w:rPr>
          <w:rFonts w:ascii="Calibri" w:hAnsi="Calibri"/>
          <w:b w:val="0"/>
          <w:color w:val="1E293B"/>
          <w:sz w:val="21"/>
        </w:rPr>
        <w:t>Our engineers have shipped vision QA, predictive maintenance, and traceability stacks for Tier-1 OEMs, EV manufacturers, aerospace suppliers, and heavy equipment makers across Asia, Europe, and North America. We do not bring a generic AI team — we bring people who know what a Cognex camera mount looks like and how an OPC-UA bus behaves under load.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Reusable accelerators that cut time-to-pilot 40–60%. </w:t>
      </w:r>
      <w:r>
        <w:rPr>
          <w:rFonts w:ascii="Calibri" w:hAnsi="Calibri"/>
          <w:b w:val="0"/>
          <w:color w:val="1E293B"/>
          <w:sz w:val="21"/>
        </w:rPr>
        <w:t>Vision-AI Starter Kit, Industrial IoT Reference Architecture, MES/SAP Integration Connector Library, MLOps Blueprint, and Edge Deployment Toolkit — field-proven, productized, licensed under the engagement. We are not building from zero on Day 1.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Hyperscaler-aligned, integration-first architecture. </w:t>
      </w:r>
      <w:r>
        <w:rPr>
          <w:rFonts w:ascii="Calibri" w:hAnsi="Calibri"/>
          <w:b w:val="0"/>
          <w:color w:val="1E293B"/>
          <w:sz w:val="21"/>
        </w:rPr>
        <w:t>AWS and Azure advanced partners. Pre-built integrations with SAP MES/ERP, SAP PM, AVEVA PI, OPC-UA, RFID, and major vision camera ecosystems. No rip-and-replace. Line-side latency below 200 ms.</w:t>
      </w:r>
    </w:p>
    <w:p>
      <w:pPr>
        <w:spacing w:after="80" w:before="80" w:line="276" w:lineRule="auto"/>
        <w:jc w:val="left"/>
      </w:pPr>
      <w:r>
        <w:rPr>
          <w:rFonts w:ascii="Calibri" w:hAnsi="Calibri"/>
          <w:b/>
          <w:i w:val="0"/>
          <w:color w:val="1A2754"/>
          <w:sz w:val="20"/>
        </w:rPr>
        <w:t>Reference outcomes from analogous engagements: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Tier-1 automotive OEM — paint defect CV. </w:t>
      </w:r>
      <w:r>
        <w:rPr>
          <w:rFonts w:ascii="Calibri" w:hAnsi="Calibri"/>
          <w:b w:val="0"/>
          <w:color w:val="1E293B"/>
          <w:sz w:val="20"/>
        </w:rPr>
        <w:t>Scaled to 4 lines in 18 weeks. −58% escape defects, −42% rework cost, 14-month payback.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Global EV manufacturer — predictive maintenance. </w:t>
      </w:r>
      <w:r>
        <w:rPr>
          <w:rFonts w:ascii="Calibri" w:hAnsi="Calibri"/>
          <w:b w:val="0"/>
          <w:color w:val="1E293B"/>
          <w:sz w:val="20"/>
        </w:rPr>
        <w:t>Vibration + acoustic mesh on stamping &amp; weld shops. −38% unplanned downtime, 5.2:1 ROI in year one.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Aerospace Tier-1 — SOP pose-estimation. </w:t>
      </w:r>
      <w:r>
        <w:rPr>
          <w:rFonts w:ascii="Calibri" w:hAnsi="Calibri"/>
          <w:b w:val="0"/>
          <w:color w:val="1E293B"/>
          <w:sz w:val="20"/>
        </w:rPr>
        <w:t>Multi-camera pipeline matched to SOP graph. 96% SOP compliance, audit prep time cut 70%.</w:t>
      </w:r>
    </w:p>
    <w:p>
      <w:pPr>
        <w:pStyle w:val="ListBullet"/>
        <w:spacing w:after="40" w:line="288" w:lineRule="auto"/>
      </w:pPr>
      <w:r>
        <w:rPr>
          <w:rFonts w:ascii="Calibri" w:hAnsi="Calibri"/>
          <w:b/>
          <w:color w:val="1E293B"/>
          <w:sz w:val="20"/>
        </w:rPr>
        <w:t xml:space="preserve">Heavy equipment — RFID + vision traceability. </w:t>
      </w:r>
      <w:r>
        <w:rPr>
          <w:rFonts w:ascii="Calibri" w:hAnsi="Calibri"/>
          <w:b w:val="0"/>
          <w:color w:val="1E293B"/>
          <w:sz w:val="20"/>
        </w:rPr>
        <w:t>Unified Neo4j genealogy across 11 plants. Recall investigation cut from weeks to days.</w:t>
      </w:r>
    </w:p>
    <w:p>
      <w:pPr>
        <w:spacing w:before="160" w:after="60"/>
        <w:pBdr>
          <w:bottom w:val="single" w:sz="6" w:space="1" w:color="14A085"/>
        </w:pBdr>
      </w:pPr>
      <w:r>
        <w:rPr>
          <w:rFonts w:ascii="Calibri" w:hAnsi="Calibri"/>
          <w:b/>
          <w:color w:val="1A2754"/>
          <w:sz w:val="22"/>
        </w:rPr>
        <w:t>RECOMMENDATION: TWO PILOTS, 12 WEEKS, FIXED SCOPE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Pilot 1 — AI-based Visual Inspection at HMGMA Metaplant America. </w:t>
      </w:r>
      <w:r>
        <w:rPr>
          <w:rFonts w:ascii="Calibri" w:hAnsi="Calibri"/>
          <w:b w:val="0"/>
          <w:color w:val="1E293B"/>
          <w:sz w:val="21"/>
        </w:rPr>
        <w:t>Edge-deployed CNN models on the IONIQ 5 / IONIQ 9 paint line. Success criteria: ≥30% reduction in escape defects vs baseline, &lt;2s detection latency, MES line-hold integration validated. Fast-follow on Tucson / Santa Fe paint at HMMA.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Pilot 2 — Predictive Maintenance on Ulsan stamping + Asan welding. </w:t>
      </w:r>
      <w:r>
        <w:rPr>
          <w:rFonts w:ascii="Calibri" w:hAnsi="Calibri"/>
          <w:b w:val="0"/>
          <w:color w:val="1E293B"/>
          <w:sz w:val="21"/>
        </w:rPr>
        <w:t>Vibration + acoustic sensor mesh on 3–5 high-criticality assets at the world's largest auto plant. Success criteria: ≥25% reduction in unplanned downtime, work-order auto-generation in SAP PM, at least one predicted failure validated with measured lead time.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Pilot team. </w:t>
      </w:r>
      <w:r>
        <w:rPr>
          <w:rFonts w:ascii="Calibri" w:hAnsi="Calibri"/>
          <w:b w:val="0"/>
          <w:color w:val="1E293B"/>
          <w:sz w:val="21"/>
        </w:rPr>
        <w:t>PeopleTech embedded pod — solution architect, ML lead, vision engineer, DevOps, plant-floor integration specialist — co-located with a Hyundai owner team from week one.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Gate to scale. </w:t>
      </w:r>
      <w:r>
        <w:rPr>
          <w:rFonts w:ascii="Calibri" w:hAnsi="Calibri"/>
          <w:b w:val="0"/>
          <w:color w:val="1E293B"/>
          <w:sz w:val="21"/>
        </w:rPr>
        <w:t>Joint review at week 12. If both pilots clear KPIs, proceed to plant-wide rollout and queue the next two use cases (recommended: SOP Compliance + Variant Confirmation). If KPIs miss, Hyundai walks. No commitment to scale until data supports it.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/>
          <w:color w:val="475569"/>
          <w:sz w:val="20"/>
        </w:rPr>
        <w:t>Fixed-scope, fixed-fee engagement against an agreed pre-pilot baseline. The shape of the contract reflects the shape of the conviction.</w:t>
      </w:r>
    </w:p>
    <w:p>
      <w:pPr>
        <w:spacing w:before="160" w:after="60"/>
        <w:pBdr>
          <w:bottom w:val="single" w:sz="6" w:space="1" w:color="14A085"/>
        </w:pBdr>
      </w:pPr>
      <w:r>
        <w:rPr>
          <w:rFonts w:ascii="Calibri" w:hAnsi="Calibri"/>
          <w:b/>
          <w:color w:val="1A2754"/>
          <w:sz w:val="22"/>
        </w:rPr>
        <w:t>NEXT STEP</w:t>
      </w:r>
    </w:p>
    <w:p>
      <w:pPr>
        <w:spacing w:after="80" w:line="288" w:lineRule="auto"/>
      </w:pPr>
      <w:r>
        <w:rPr>
          <w:rFonts w:ascii="Calibri" w:hAnsi="Calibri"/>
          <w:b/>
          <w:color w:val="1E293B"/>
          <w:sz w:val="21"/>
        </w:rPr>
        <w:t xml:space="preserve">Two-hour Pilot Scoping Workshop </w:t>
      </w:r>
      <w:r>
        <w:rPr>
          <w:rFonts w:ascii="Calibri" w:hAnsi="Calibri"/>
          <w:b w:val="0"/>
          <w:color w:val="1E293B"/>
          <w:sz w:val="21"/>
        </w:rPr>
        <w:t xml:space="preserve">with Hyundai's Plant Operations and Quality leadership, plus PeopleTech's AI Manufacturing practice lead. We walk the candidate line, agree the baseline, finalize KPIs, and lock dates. </w:t>
      </w:r>
      <w:r>
        <w:rPr>
          <w:rFonts w:ascii="Calibri" w:hAnsi="Calibri"/>
          <w:b/>
          <w:color w:val="1E293B"/>
          <w:sz w:val="21"/>
        </w:rPr>
        <w:t xml:space="preserve">Proposed timing: within the next 14 days. </w:t>
      </w:r>
      <w:r>
        <w:rPr>
          <w:rFonts w:ascii="Calibri" w:hAnsi="Calibri"/>
          <w:b w:val="0"/>
          <w:color w:val="1E293B"/>
          <w:sz w:val="21"/>
        </w:rPr>
        <w:t>We hold a delivery pod open for Hyundai through the end of the quarter.</w:t>
      </w:r>
    </w:p>
    <w:p>
      <w:pPr>
        <w:spacing w:before="160"/>
        <w:jc w:val="center"/>
      </w:pPr>
      <w:r>
        <w:rPr>
          <w:rFonts w:ascii="Calibri" w:hAnsi="Calibri"/>
          <w:b/>
          <w:i/>
          <w:color w:val="14A085"/>
          <w:sz w:val="22"/>
        </w:rPr>
        <w:t>PeopleTech is ready to build. Let's pick the first use case and move fast.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