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D56E7" w14:textId="370D8679" w:rsidR="00671CC4" w:rsidRDefault="00671CC4" w:rsidP="00671CC4">
      <w:pPr>
        <w:jc w:val="center"/>
        <w:rPr>
          <w:b/>
        </w:rPr>
      </w:pPr>
      <w:r w:rsidRPr="00671CC4">
        <w:rPr>
          <w:b/>
        </w:rPr>
        <w:t>VAT Gap Model</w:t>
      </w:r>
      <w:r>
        <w:rPr>
          <w:b/>
        </w:rPr>
        <w:t xml:space="preserve"> – Production side</w:t>
      </w:r>
    </w:p>
    <w:p w14:paraId="7D0BA92A" w14:textId="77777777" w:rsidR="00671CC4" w:rsidRDefault="00671CC4" w:rsidP="00671CC4">
      <w:pPr>
        <w:jc w:val="center"/>
        <w:rPr>
          <w:b/>
        </w:rPr>
      </w:pPr>
      <w:r>
        <w:rPr>
          <w:b/>
        </w:rPr>
        <w:t>Using</w:t>
      </w:r>
    </w:p>
    <w:p w14:paraId="4365BAE0" w14:textId="1CEC9F29" w:rsidR="00671CC4" w:rsidRDefault="00671CC4" w:rsidP="00671CC4">
      <w:pPr>
        <w:jc w:val="center"/>
        <w:rPr>
          <w:b/>
        </w:rPr>
      </w:pPr>
      <w:r>
        <w:rPr>
          <w:b/>
        </w:rPr>
        <w:t>Supply and Use Tables</w:t>
      </w:r>
    </w:p>
    <w:p w14:paraId="3CA29B25" w14:textId="7121B4F9" w:rsidR="00C52E80" w:rsidRDefault="00C52E80" w:rsidP="00671CC4">
      <w:pPr>
        <w:jc w:val="center"/>
      </w:pPr>
      <w:r>
        <w:rPr>
          <w:b/>
        </w:rPr>
        <w:t>In Microsoft Excel</w:t>
      </w:r>
    </w:p>
    <w:p w14:paraId="30BEFEB7" w14:textId="77777777" w:rsidR="00671CC4" w:rsidRDefault="00671CC4" w:rsidP="00671CC4"/>
    <w:p w14:paraId="2A3E7611" w14:textId="60D39BD3" w:rsidR="00671CC4" w:rsidRDefault="00671CC4" w:rsidP="00671CC4">
      <w:r w:rsidRPr="004F046A">
        <w:rPr>
          <w:b/>
        </w:rPr>
        <w:t>Introduction:</w:t>
      </w:r>
      <w:r>
        <w:t xml:space="preserve"> The VAT Compliance Gap (henceforth referred to as the VAT Gap) is the gap between the potential revenue </w:t>
      </w:r>
      <w:r w:rsidR="004F046A">
        <w:t xml:space="preserve">as per the statute </w:t>
      </w:r>
      <w:r>
        <w:t>and the actual revenue performance.</w:t>
      </w:r>
      <w:r w:rsidR="004F046A">
        <w:t xml:space="preserve"> </w:t>
      </w:r>
    </w:p>
    <w:p w14:paraId="310DCCD0" w14:textId="79771543" w:rsidR="009248A7" w:rsidRDefault="009248A7" w:rsidP="00671CC4"/>
    <w:p w14:paraId="6877930A" w14:textId="6397ED6F" w:rsidR="009248A7" w:rsidRDefault="009248A7" w:rsidP="00EE06CF">
      <w:pPr>
        <w:jc w:val="both"/>
      </w:pPr>
      <w:r>
        <w:t xml:space="preserve">The potential revenue is </w:t>
      </w:r>
      <w:r w:rsidR="00785501">
        <w:t xml:space="preserve">calculated by applying the VAT rate </w:t>
      </w:r>
      <w:r>
        <w:t>on the VAT base which is the consumption</w:t>
      </w:r>
      <w:r w:rsidR="00743071">
        <w:t xml:space="preserve"> in the jurisdiction</w:t>
      </w:r>
      <w:r w:rsidR="00415F64">
        <w:t>.</w:t>
      </w:r>
      <w:r w:rsidR="00785501">
        <w:t xml:space="preserve"> </w:t>
      </w:r>
      <w:r w:rsidR="00EE06CF">
        <w:t>The total consumption is obtained from the national accounts.</w:t>
      </w:r>
    </w:p>
    <w:p w14:paraId="567C9EE7" w14:textId="4D025E0D" w:rsidR="00B651C3" w:rsidRDefault="00B651C3" w:rsidP="00EE06CF">
      <w:pPr>
        <w:jc w:val="both"/>
      </w:pPr>
    </w:p>
    <w:p w14:paraId="6EDF07FD" w14:textId="3733D739" w:rsidR="00B651C3" w:rsidRDefault="00B651C3" w:rsidP="00EE06CF">
      <w:pPr>
        <w:jc w:val="both"/>
      </w:pPr>
      <w:r>
        <w:t xml:space="preserve">VAT Liability = </w:t>
      </w:r>
      <w:r w:rsidR="009B0E62">
        <w:t xml:space="preserve">Final </w:t>
      </w:r>
      <w:r>
        <w:t xml:space="preserve">Consumption </w:t>
      </w:r>
      <w:r w:rsidR="00A93DAF">
        <w:t>* Tax Rate</w:t>
      </w:r>
      <w:r w:rsidR="00281D00">
        <w:t xml:space="preserve"> -----------------------(1)</w:t>
      </w:r>
    </w:p>
    <w:p w14:paraId="25648D13" w14:textId="77777777" w:rsidR="00281D00" w:rsidRDefault="00281D00" w:rsidP="00EE06CF">
      <w:pPr>
        <w:jc w:val="both"/>
      </w:pPr>
    </w:p>
    <w:p w14:paraId="53DD72A3" w14:textId="287E1C86" w:rsidR="00B651C3" w:rsidRDefault="00B651C3" w:rsidP="00EE06CF">
      <w:pPr>
        <w:jc w:val="both"/>
      </w:pPr>
      <w:r>
        <w:t xml:space="preserve">However, the VAT </w:t>
      </w:r>
      <w:r w:rsidR="00281D00">
        <w:t>Liability</w:t>
      </w:r>
      <w:r>
        <w:t xml:space="preserve"> could also be derived alternatively which links the consumption side with the production side that generates the goods and services being consumed.</w:t>
      </w:r>
    </w:p>
    <w:p w14:paraId="2E4EB2C5" w14:textId="217F2039" w:rsidR="00863208" w:rsidRDefault="00863208" w:rsidP="00671CC4"/>
    <w:p w14:paraId="59B4F169" w14:textId="0DAFEBD5" w:rsidR="00670689" w:rsidRDefault="00670689" w:rsidP="00281D00">
      <w:r>
        <w:t>Supply Table:</w:t>
      </w:r>
      <w:r w:rsidR="00281D00">
        <w:t xml:space="preserve"> </w:t>
      </w:r>
      <w:r>
        <w:t xml:space="preserve">Supply Table has the supply (in millions of euros) of all ‘n’ commodities into the </w:t>
      </w:r>
      <w:r w:rsidR="00B07169">
        <w:t>economy</w:t>
      </w:r>
      <w:r>
        <w:t xml:space="preserve">. </w:t>
      </w:r>
      <w:r w:rsidR="00023D46">
        <w:t xml:space="preserve">Supply could be from domestic production or from Imports. In the figure below, </w:t>
      </w:r>
      <w:r>
        <w:t>Domestic production is shown as a ‘n’ x ‘n’ matrix</w:t>
      </w:r>
      <w:r w:rsidR="00023D46">
        <w:t xml:space="preserve"> </w:t>
      </w:r>
      <w:r>
        <w:t xml:space="preserve"> </w:t>
      </w:r>
      <w:r w:rsidR="00023D46">
        <w:rPr>
          <w:rFonts w:eastAsiaTheme="minorEastAsia"/>
        </w:rPr>
        <w:t xml:space="preserve">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ij</m:t>
                    </m:r>
                  </m:sub>
                </m:sSub>
              </m:e>
            </m:d>
          </m:e>
          <m:sub>
            <m:r>
              <w:rPr>
                <w:rFonts w:ascii="Cambria Math" w:eastAsiaTheme="minorEastAsia" w:hAnsi="Cambria Math"/>
              </w:rPr>
              <m:t>nxn</m:t>
            </m:r>
          </m:sub>
        </m:sSub>
      </m:oMath>
      <w:r>
        <w:t xml:space="preserve"> by the ‘n’ Commodities as well as by ‘n’ Industries</w:t>
      </w:r>
      <w:r w:rsidR="000B2F0D">
        <w:rPr>
          <w:rStyle w:val="FootnoteReference"/>
        </w:rPr>
        <w:footnoteReference w:id="1"/>
      </w:r>
      <w:r>
        <w:t xml:space="preserve"> that supplies these commodities</w:t>
      </w:r>
      <w:r w:rsidR="00023D46">
        <w:t xml:space="preserve">. The Supply Table also includes by commodity, the </w:t>
      </w:r>
      <w:r w:rsidR="0043512F">
        <w:t xml:space="preserve">Trade/Transport </w:t>
      </w:r>
      <w:r w:rsidR="00023D46">
        <w:t>margins (</w:t>
      </w:r>
      <w:r w:rsidR="00301A53">
        <w:t>R</w:t>
      </w:r>
      <w:r w:rsidR="00023D46">
        <w:t xml:space="preserve">) and the tax or subsidies by commodity (T). Imports are shown by commodity </w:t>
      </w:r>
      <w:r w:rsidR="00E602AA">
        <w:t>(M</w:t>
      </w:r>
      <w:r w:rsidR="002C2AA8">
        <w:t>).</w:t>
      </w:r>
    </w:p>
    <w:p w14:paraId="0A44ED47" w14:textId="12554D2D" w:rsidR="004F046A" w:rsidRDefault="004F046A" w:rsidP="00671CC4">
      <w:pPr>
        <w:rPr>
          <w:rFonts w:eastAsiaTheme="minorEastAsia"/>
        </w:rPr>
      </w:pPr>
    </w:p>
    <w:p w14:paraId="547AD33B" w14:textId="6A9FFDE8" w:rsidR="004F046A" w:rsidRDefault="00D91082" w:rsidP="00671CC4">
      <w:pPr>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e>
                  <m:r>
                    <w:rPr>
                      <w:rFonts w:ascii="Cambria Math" w:eastAsiaTheme="minorEastAsia" w:hAnsi="Cambria Math"/>
                    </w:rPr>
                    <m:t>C</m:t>
                  </m:r>
                  <m:ctrlPr>
                    <w:rPr>
                      <w:rFonts w:ascii="Cambria Math" w:eastAsia="Cambria Math" w:hAnsi="Cambria Math" w:cs="Cambria Math"/>
                      <w:i/>
                    </w:rPr>
                  </m:ctrlPr>
                </m:e>
                <m:e>
                  <m:r>
                    <w:rPr>
                      <w:rFonts w:ascii="Cambria Math" w:eastAsia="Cambria Math" w:hAnsi="Cambria Math" w:cs="Cambria Math"/>
                    </w:rPr>
                    <m:t>O</m:t>
                  </m:r>
                  <m:ctrlPr>
                    <w:rPr>
                      <w:rFonts w:ascii="Cambria Math" w:eastAsia="Cambria Math" w:hAnsi="Cambria Math" w:cs="Cambria Math"/>
                      <w:i/>
                    </w:rPr>
                  </m:ctrlPr>
                </m:e>
                <m:e>
                  <m:r>
                    <w:rPr>
                      <w:rFonts w:ascii="Cambria Math" w:eastAsia="Cambria Math" w:hAnsi="Cambria Math" w:cs="Cambria Math"/>
                    </w:rPr>
                    <m:t>M</m:t>
                  </m:r>
                  <m:ctrlPr>
                    <w:rPr>
                      <w:rFonts w:ascii="Cambria Math" w:eastAsia="Cambria Math" w:hAnsi="Cambria Math" w:cs="Cambria Math"/>
                      <w:i/>
                    </w:rPr>
                  </m:ctrlPr>
                </m:e>
                <m:e>
                  <m:r>
                    <w:rPr>
                      <w:rFonts w:ascii="Cambria Math" w:eastAsia="Cambria Math" w:hAnsi="Cambria Math" w:cs="Cambria Math"/>
                    </w:rPr>
                    <m:t>M</m:t>
                  </m:r>
                  <m:ctrlPr>
                    <w:rPr>
                      <w:rFonts w:ascii="Cambria Math" w:eastAsia="Cambria Math" w:hAnsi="Cambria Math" w:cs="Cambria Math"/>
                      <w:i/>
                    </w:rPr>
                  </m:ctrlPr>
                </m:e>
                <m:e>
                  <m:r>
                    <w:rPr>
                      <w:rFonts w:ascii="Cambria Math" w:eastAsia="Cambria Math" w:hAnsi="Cambria Math" w:cs="Cambria Math"/>
                    </w:rPr>
                    <m:t>O</m:t>
                  </m:r>
                  <m:ctrlPr>
                    <w:rPr>
                      <w:rFonts w:ascii="Cambria Math" w:eastAsia="Cambria Math" w:hAnsi="Cambria Math" w:cs="Cambria Math"/>
                      <w:i/>
                    </w:rPr>
                  </m:ctrlPr>
                </m:e>
                <m:e>
                  <m:r>
                    <w:rPr>
                      <w:rFonts w:ascii="Cambria Math" w:eastAsia="Cambria Math" w:hAnsi="Cambria Math" w:cs="Cambria Math"/>
                    </w:rPr>
                    <m:t>D</m:t>
                  </m:r>
                  <m:ctrlPr>
                    <w:rPr>
                      <w:rFonts w:ascii="Cambria Math" w:eastAsia="Cambria Math" w:hAnsi="Cambria Math" w:cs="Cambria Math"/>
                      <w:i/>
                    </w:rPr>
                  </m:ctrlPr>
                </m:e>
                <m:e>
                  <m:r>
                    <w:rPr>
                      <w:rFonts w:ascii="Cambria Math" w:eastAsia="Cambria Math" w:hAnsi="Cambria Math" w:cs="Cambria Math"/>
                    </w:rPr>
                    <m:t>I</m:t>
                  </m:r>
                  <m:ctrlPr>
                    <w:rPr>
                      <w:rFonts w:ascii="Cambria Math" w:eastAsia="Cambria Math" w:hAnsi="Cambria Math" w:cs="Cambria Math"/>
                      <w:i/>
                    </w:rPr>
                  </m:ctrlPr>
                </m:e>
                <m:e>
                  <m:r>
                    <w:rPr>
                      <w:rFonts w:ascii="Cambria Math" w:eastAsia="Cambria Math" w:hAnsi="Cambria Math" w:cs="Cambria Math"/>
                    </w:rPr>
                    <m:t>T</m:t>
                  </m:r>
                  <m:ctrlPr>
                    <w:rPr>
                      <w:rFonts w:ascii="Cambria Math" w:eastAsia="Cambria Math" w:hAnsi="Cambria Math" w:cs="Cambria Math"/>
                      <w:i/>
                    </w:rPr>
                  </m:ctrlPr>
                </m:e>
                <m:e>
                  <m:r>
                    <w:rPr>
                      <w:rFonts w:ascii="Cambria Math" w:eastAsia="Cambria Math" w:hAnsi="Cambria Math" w:cs="Cambria Math"/>
                    </w:rPr>
                    <m:t>I</m:t>
                  </m:r>
                  <m:ctrlPr>
                    <w:rPr>
                      <w:rFonts w:ascii="Cambria Math" w:eastAsia="Cambria Math" w:hAnsi="Cambria Math" w:cs="Cambria Math"/>
                      <w:i/>
                    </w:rPr>
                  </m:ctrlPr>
                </m:e>
                <m:e>
                  <m:r>
                    <w:rPr>
                      <w:rFonts w:ascii="Cambria Math" w:eastAsia="Cambria Math" w:hAnsi="Cambria Math" w:cs="Cambria Math"/>
                    </w:rPr>
                    <m:t>E</m:t>
                  </m:r>
                  <m:ctrlPr>
                    <w:rPr>
                      <w:rFonts w:ascii="Cambria Math" w:eastAsia="Cambria Math" w:hAnsi="Cambria Math" w:cs="Cambria Math"/>
                      <w:i/>
                    </w:rPr>
                  </m:ctrlPr>
                </m:e>
                <m:e>
                  <m:r>
                    <w:rPr>
                      <w:rFonts w:ascii="Cambria Math" w:eastAsia="Cambria Math" w:hAnsi="Cambria Math" w:cs="Cambria Math"/>
                    </w:rPr>
                    <m:t>S</m:t>
                  </m:r>
                </m:e>
              </m:eqArr>
              <m:eqArr>
                <m:eqArrPr>
                  <m:ctrlPr>
                    <w:rPr>
                      <w:rFonts w:ascii="Cambria Math" w:eastAsiaTheme="minorEastAsia" w:hAnsi="Cambria Math"/>
                      <w:i/>
                    </w:rPr>
                  </m:ctrlPr>
                </m:eqArrPr>
                <m:e>
                  <m:r>
                    <w:rPr>
                      <w:rFonts w:ascii="Cambria Math" w:eastAsiaTheme="minorEastAsia" w:hAnsi="Cambria Math"/>
                    </w:rPr>
                    <m:t>I</m:t>
                  </m: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eqArr>
              <m:eqArr>
                <m:eqArrPr>
                  <m:ctrlPr>
                    <w:rPr>
                      <w:rFonts w:ascii="Cambria Math" w:eastAsiaTheme="minorEastAsia" w:hAnsi="Cambria Math"/>
                      <w:i/>
                    </w:rPr>
                  </m:ctrlPr>
                </m:eqArrPr>
                <m:e>
                  <m:r>
                    <w:rPr>
                      <w:rFonts w:ascii="Cambria Math" w:eastAsiaTheme="minorEastAsia" w:hAnsi="Cambria Math"/>
                    </w:rPr>
                    <m:t>N</m:t>
                  </m: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eqArr>
              <m:eqArr>
                <m:eqArrPr>
                  <m:ctrlPr>
                    <w:rPr>
                      <w:rFonts w:ascii="Cambria Math" w:eastAsiaTheme="minorEastAsia" w:hAnsi="Cambria Math"/>
                      <w:i/>
                    </w:rPr>
                  </m:ctrlPr>
                </m:eqArrPr>
                <m:e>
                  <m:r>
                    <w:rPr>
                      <w:rFonts w:ascii="Cambria Math" w:eastAsiaTheme="minorEastAsia" w:hAnsi="Cambria Math"/>
                    </w:rPr>
                    <m:t>D</m:t>
                  </m: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eqArr>
              <m:eqArr>
                <m:eqArrPr>
                  <m:ctrlPr>
                    <w:rPr>
                      <w:rFonts w:ascii="Cambria Math" w:eastAsiaTheme="minorEastAsia" w:hAnsi="Cambria Math"/>
                      <w:i/>
                    </w:rPr>
                  </m:ctrlPr>
                </m:eqArrPr>
                <m:e>
                  <m:r>
                    <w:rPr>
                      <w:rFonts w:ascii="Cambria Math" w:eastAsiaTheme="minorEastAsia" w:hAnsi="Cambria Math"/>
                    </w:rPr>
                    <m:t>U</m:t>
                  </m: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eqArr>
              <m:eqArr>
                <m:eqArrPr>
                  <m:ctrlPr>
                    <w:rPr>
                      <w:rFonts w:ascii="Cambria Math" w:eastAsiaTheme="minorEastAsia" w:hAnsi="Cambria Math"/>
                      <w:i/>
                    </w:rPr>
                  </m:ctrlPr>
                </m:eqArrPr>
                <m:e>
                  <m:r>
                    <w:rPr>
                      <w:rFonts w:ascii="Cambria Math" w:eastAsiaTheme="minorEastAsia" w:hAnsi="Cambria Math"/>
                    </w:rPr>
                    <m:t>S</m:t>
                  </m: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S</m:t>
                      </m:r>
                    </m:e>
                    <m:sub>
                      <m:r>
                        <w:rPr>
                          <w:rFonts w:ascii="Cambria Math" w:hAnsi="Cambria Math"/>
                        </w:rPr>
                        <m:t>ij</m:t>
                      </m:r>
                    </m:sub>
                  </m:sSub>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eqArr>
              <m:eqArr>
                <m:eqArrPr>
                  <m:ctrlPr>
                    <w:rPr>
                      <w:rFonts w:ascii="Cambria Math" w:eastAsiaTheme="minorEastAsia" w:hAnsi="Cambria Math"/>
                      <w:i/>
                    </w:rPr>
                  </m:ctrlPr>
                </m:eqArrPr>
                <m:e>
                  <m:r>
                    <w:rPr>
                      <w:rFonts w:ascii="Cambria Math" w:eastAsiaTheme="minorEastAsia" w:hAnsi="Cambria Math"/>
                    </w:rPr>
                    <m:t>T</m:t>
                  </m: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eqArr>
              <m:eqArr>
                <m:eqArrPr>
                  <m:ctrlPr>
                    <w:rPr>
                      <w:rFonts w:ascii="Cambria Math" w:eastAsiaTheme="minorEastAsia" w:hAnsi="Cambria Math"/>
                      <w:i/>
                    </w:rPr>
                  </m:ctrlPr>
                </m:eqArrPr>
                <m:e>
                  <m:r>
                    <w:rPr>
                      <w:rFonts w:ascii="Cambria Math" w:eastAsiaTheme="minorEastAsia" w:hAnsi="Cambria Math"/>
                    </w:rPr>
                    <m:t>R</m:t>
                  </m: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eqArr>
              <m:eqArr>
                <m:eqArrPr>
                  <m:ctrlPr>
                    <w:rPr>
                      <w:rFonts w:ascii="Cambria Math" w:eastAsiaTheme="minorEastAsia" w:hAnsi="Cambria Math"/>
                      <w:i/>
                    </w:rPr>
                  </m:ctrlPr>
                </m:eqArrPr>
                <m:e>
                  <m:r>
                    <w:rPr>
                      <w:rFonts w:ascii="Cambria Math" w:eastAsiaTheme="minorEastAsia" w:hAnsi="Cambria Math"/>
                    </w:rPr>
                    <m:t>I</m:t>
                  </m: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eqArr>
              <m:eqArr>
                <m:eqArrPr>
                  <m:ctrlPr>
                    <w:rPr>
                      <w:rFonts w:ascii="Cambria Math" w:eastAsiaTheme="minorEastAsia" w:hAnsi="Cambria Math"/>
                      <w:i/>
                    </w:rPr>
                  </m:ctrlPr>
                </m:eqArrPr>
                <m:e>
                  <m:r>
                    <w:rPr>
                      <w:rFonts w:ascii="Cambria Math" w:eastAsiaTheme="minorEastAsia" w:hAnsi="Cambria Math"/>
                    </w:rPr>
                    <m:t>E</m:t>
                  </m: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eqArr>
              <m:eqArr>
                <m:eqArrPr>
                  <m:ctrlPr>
                    <w:rPr>
                      <w:rFonts w:ascii="Cambria Math" w:eastAsiaTheme="minorEastAsia" w:hAnsi="Cambria Math"/>
                      <w:i/>
                    </w:rPr>
                  </m:ctrlPr>
                </m:eqArrPr>
                <m:e>
                  <m:r>
                    <w:rPr>
                      <w:rFonts w:ascii="Cambria Math" w:eastAsiaTheme="minorEastAsia" w:hAnsi="Cambria Math"/>
                    </w:rPr>
                    <m:t>S</m:t>
                  </m: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eqArr>
              <m:eqArr>
                <m:eqArrPr>
                  <m:ctrlPr>
                    <w:rPr>
                      <w:rFonts w:ascii="Cambria Math" w:eastAsiaTheme="minorEastAsia" w:hAnsi="Cambria Math"/>
                      <w:i/>
                    </w:rPr>
                  </m:ctrlPr>
                </m:eqArrPr>
                <m:e>
                  <m:r>
                    <w:rPr>
                      <w:rFonts w:ascii="Cambria Math" w:eastAsiaTheme="minorEastAsia" w:hAnsi="Cambria Math"/>
                    </w:rPr>
                    <m:t>|</m:t>
                  </m:r>
                </m:e>
                <m:e>
                  <m:r>
                    <w:rPr>
                      <w:rFonts w:ascii="Cambria Math" w:eastAsiaTheme="minorEastAsia"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eqArr>
              <m:r>
                <w:rPr>
                  <w:rFonts w:ascii="Cambria Math" w:eastAsiaTheme="minorEastAsia" w:hAnsi="Cambria Math"/>
                </w:rPr>
                <m:t>M</m:t>
              </m:r>
              <m:eqArr>
                <m:eqArrPr>
                  <m:ctrlPr>
                    <w:rPr>
                      <w:rFonts w:ascii="Cambria Math" w:eastAsiaTheme="minorEastAsia" w:hAnsi="Cambria Math"/>
                      <w:i/>
                    </w:rPr>
                  </m:ctrlPr>
                </m:eqArrPr>
                <m:e>
                  <m:r>
                    <w:rPr>
                      <w:rFonts w:ascii="Cambria Math" w:eastAsiaTheme="minorEastAsia" w:hAnsi="Cambria Math"/>
                    </w:rPr>
                    <m:t>|</m:t>
                  </m:r>
                </m:e>
                <m:e>
                  <m:r>
                    <w:rPr>
                      <w:rFonts w:ascii="Cambria Math" w:eastAsiaTheme="minorEastAsia"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eqArr>
              <m:r>
                <w:rPr>
                  <w:rFonts w:ascii="Cambria Math" w:eastAsiaTheme="minorEastAsia" w:hAnsi="Cambria Math"/>
                </w:rPr>
                <m:t>R</m:t>
              </m:r>
              <m:eqArr>
                <m:eqArrPr>
                  <m:ctrlPr>
                    <w:rPr>
                      <w:rFonts w:ascii="Cambria Math" w:eastAsiaTheme="minorEastAsia" w:hAnsi="Cambria Math"/>
                      <w:i/>
                    </w:rPr>
                  </m:ctrlPr>
                </m:eqArrPr>
                <m:e>
                  <m:r>
                    <w:rPr>
                      <w:rFonts w:ascii="Cambria Math" w:eastAsiaTheme="minorEastAsia" w:hAnsi="Cambria Math"/>
                    </w:rPr>
                    <m:t>|</m:t>
                  </m:r>
                </m:e>
                <m:e>
                  <m:r>
                    <w:rPr>
                      <w:rFonts w:ascii="Cambria Math" w:eastAsiaTheme="minorEastAsia"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eqArr>
              <m:r>
                <w:rPr>
                  <w:rFonts w:ascii="Cambria Math" w:eastAsiaTheme="minorEastAsia" w:hAnsi="Cambria Math"/>
                </w:rPr>
                <m:t>T</m:t>
              </m:r>
            </m:e>
          </m:d>
        </m:oMath>
      </m:oMathPara>
    </w:p>
    <w:p w14:paraId="4F58924B" w14:textId="77777777" w:rsidR="00FC1BCA" w:rsidRDefault="00FC1BCA" w:rsidP="00671CC4">
      <w:pPr>
        <w:rPr>
          <w:rFonts w:eastAsiaTheme="minorEastAsia"/>
        </w:rPr>
      </w:pPr>
    </w:p>
    <w:p w14:paraId="6C5E3A24" w14:textId="77777777" w:rsidR="00122CCE" w:rsidRDefault="00122CCE" w:rsidP="00671CC4">
      <w:pPr>
        <w:rPr>
          <w:rFonts w:eastAsiaTheme="minorEastAsia"/>
        </w:rPr>
      </w:pPr>
    </w:p>
    <w:p w14:paraId="38A1B9C9" w14:textId="5784821B" w:rsidR="00375D51" w:rsidRDefault="00375D51" w:rsidP="00122CCE">
      <w:pPr>
        <w:jc w:val="both"/>
        <w:rPr>
          <w:rFonts w:eastAsiaTheme="minorEastAsia"/>
        </w:rPr>
      </w:pPr>
      <w:r>
        <w:rPr>
          <w:rFonts w:eastAsiaTheme="minorEastAsia"/>
        </w:rPr>
        <w:t xml:space="preserve">Use Table: </w:t>
      </w:r>
      <w:r w:rsidR="003B4D00">
        <w:rPr>
          <w:rFonts w:eastAsiaTheme="minorEastAsia"/>
        </w:rPr>
        <w:t>The Use Table</w:t>
      </w:r>
      <w:r w:rsidR="00B07169">
        <w:rPr>
          <w:rFonts w:eastAsiaTheme="minorEastAsia"/>
        </w:rPr>
        <w:t xml:space="preserve"> provides the use of commodities in the economy. Use of commodity </w:t>
      </w:r>
      <w:r w:rsidR="002C2AA8">
        <w:t xml:space="preserve">is shown in the figure below as Use of commodity by Industry </w:t>
      </w:r>
      <w:r w:rsidR="00C416D0">
        <w:t xml:space="preserve">(Intermediate </w:t>
      </w:r>
      <w:proofErr w:type="gramStart"/>
      <w:r w:rsidR="00C416D0">
        <w:t>Use)</w:t>
      </w:r>
      <w:r w:rsidR="002C2AA8">
        <w:t>represented</w:t>
      </w:r>
      <w:proofErr w:type="gramEnd"/>
      <w:r w:rsidR="002C2AA8">
        <w:t xml:space="preserve"> as an ‘n’ x ‘n’ matrix  </w:t>
      </w:r>
      <w:r w:rsidR="002C2AA8">
        <w:rPr>
          <w:rFonts w:eastAsiaTheme="minorEastAsia"/>
        </w:rPr>
        <w:t xml:space="preserve">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ij</m:t>
                    </m:r>
                  </m:sub>
                </m:sSub>
              </m:e>
            </m:d>
          </m:e>
          <m:sub>
            <m:r>
              <w:rPr>
                <w:rFonts w:ascii="Cambria Math" w:eastAsiaTheme="minorEastAsia" w:hAnsi="Cambria Math"/>
              </w:rPr>
              <m:t>nxn</m:t>
            </m:r>
          </m:sub>
        </m:sSub>
      </m:oMath>
      <w:r w:rsidR="00B07169">
        <w:rPr>
          <w:rFonts w:eastAsiaTheme="minorEastAsia"/>
        </w:rPr>
        <w:t>, use by Final Consumers</w:t>
      </w:r>
      <w:r w:rsidR="002C2AA8">
        <w:rPr>
          <w:rFonts w:eastAsiaTheme="minorEastAsia"/>
        </w:rPr>
        <w:t xml:space="preserve"> (FC)</w:t>
      </w:r>
      <w:r w:rsidR="00B07169">
        <w:rPr>
          <w:rFonts w:eastAsiaTheme="minorEastAsia"/>
        </w:rPr>
        <w:t xml:space="preserve">, Use for Gross Capital Formation </w:t>
      </w:r>
      <w:r w:rsidR="002C2AA8">
        <w:rPr>
          <w:rFonts w:eastAsiaTheme="minorEastAsia"/>
        </w:rPr>
        <w:t xml:space="preserve">(GCF) </w:t>
      </w:r>
      <w:r w:rsidR="00B07169">
        <w:rPr>
          <w:rFonts w:eastAsiaTheme="minorEastAsia"/>
        </w:rPr>
        <w:t>and finally use by Exporters</w:t>
      </w:r>
      <w:r w:rsidR="002C2AA8">
        <w:rPr>
          <w:rFonts w:eastAsiaTheme="minorEastAsia"/>
        </w:rPr>
        <w:t xml:space="preserve"> (E)</w:t>
      </w:r>
      <w:r w:rsidR="00B07169">
        <w:rPr>
          <w:rFonts w:eastAsiaTheme="minorEastAsia"/>
        </w:rPr>
        <w:t>.</w:t>
      </w:r>
    </w:p>
    <w:p w14:paraId="114DB019" w14:textId="4F5A8F04" w:rsidR="002636CB" w:rsidRDefault="002636CB" w:rsidP="00671CC4"/>
    <w:p w14:paraId="264D597D" w14:textId="3CAD018A" w:rsidR="007115EE" w:rsidRDefault="00D91082" w:rsidP="007115EE">
      <w:pPr>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e>
                  <m:r>
                    <w:rPr>
                      <w:rFonts w:ascii="Cambria Math" w:eastAsiaTheme="minorEastAsia" w:hAnsi="Cambria Math"/>
                    </w:rPr>
                    <m:t>C</m:t>
                  </m:r>
                  <m:ctrlPr>
                    <w:rPr>
                      <w:rFonts w:ascii="Cambria Math" w:eastAsia="Cambria Math" w:hAnsi="Cambria Math" w:cs="Cambria Math"/>
                      <w:i/>
                    </w:rPr>
                  </m:ctrlPr>
                </m:e>
                <m:e>
                  <m:r>
                    <w:rPr>
                      <w:rFonts w:ascii="Cambria Math" w:eastAsia="Cambria Math" w:hAnsi="Cambria Math" w:cs="Cambria Math"/>
                    </w:rPr>
                    <m:t>O</m:t>
                  </m:r>
                  <m:ctrlPr>
                    <w:rPr>
                      <w:rFonts w:ascii="Cambria Math" w:eastAsia="Cambria Math" w:hAnsi="Cambria Math" w:cs="Cambria Math"/>
                      <w:i/>
                    </w:rPr>
                  </m:ctrlPr>
                </m:e>
                <m:e>
                  <m:r>
                    <w:rPr>
                      <w:rFonts w:ascii="Cambria Math" w:eastAsia="Cambria Math" w:hAnsi="Cambria Math" w:cs="Cambria Math"/>
                    </w:rPr>
                    <m:t>M</m:t>
                  </m:r>
                  <m:ctrlPr>
                    <w:rPr>
                      <w:rFonts w:ascii="Cambria Math" w:eastAsia="Cambria Math" w:hAnsi="Cambria Math" w:cs="Cambria Math"/>
                      <w:i/>
                    </w:rPr>
                  </m:ctrlPr>
                </m:e>
                <m:e>
                  <m:r>
                    <w:rPr>
                      <w:rFonts w:ascii="Cambria Math" w:eastAsia="Cambria Math" w:hAnsi="Cambria Math" w:cs="Cambria Math"/>
                    </w:rPr>
                    <m:t>M</m:t>
                  </m:r>
                  <m:ctrlPr>
                    <w:rPr>
                      <w:rFonts w:ascii="Cambria Math" w:eastAsia="Cambria Math" w:hAnsi="Cambria Math" w:cs="Cambria Math"/>
                      <w:i/>
                    </w:rPr>
                  </m:ctrlPr>
                </m:e>
                <m:e>
                  <m:r>
                    <w:rPr>
                      <w:rFonts w:ascii="Cambria Math" w:eastAsia="Cambria Math" w:hAnsi="Cambria Math" w:cs="Cambria Math"/>
                    </w:rPr>
                    <m:t>O</m:t>
                  </m:r>
                  <m:ctrlPr>
                    <w:rPr>
                      <w:rFonts w:ascii="Cambria Math" w:eastAsia="Cambria Math" w:hAnsi="Cambria Math" w:cs="Cambria Math"/>
                      <w:i/>
                    </w:rPr>
                  </m:ctrlPr>
                </m:e>
                <m:e>
                  <m:r>
                    <w:rPr>
                      <w:rFonts w:ascii="Cambria Math" w:eastAsia="Cambria Math" w:hAnsi="Cambria Math" w:cs="Cambria Math"/>
                    </w:rPr>
                    <m:t>D</m:t>
                  </m:r>
                  <m:ctrlPr>
                    <w:rPr>
                      <w:rFonts w:ascii="Cambria Math" w:eastAsia="Cambria Math" w:hAnsi="Cambria Math" w:cs="Cambria Math"/>
                      <w:i/>
                    </w:rPr>
                  </m:ctrlPr>
                </m:e>
                <m:e>
                  <m:r>
                    <w:rPr>
                      <w:rFonts w:ascii="Cambria Math" w:eastAsia="Cambria Math" w:hAnsi="Cambria Math" w:cs="Cambria Math"/>
                    </w:rPr>
                    <m:t>I</m:t>
                  </m:r>
                  <m:ctrlPr>
                    <w:rPr>
                      <w:rFonts w:ascii="Cambria Math" w:eastAsia="Cambria Math" w:hAnsi="Cambria Math" w:cs="Cambria Math"/>
                      <w:i/>
                    </w:rPr>
                  </m:ctrlPr>
                </m:e>
                <m:e>
                  <m:r>
                    <w:rPr>
                      <w:rFonts w:ascii="Cambria Math" w:eastAsia="Cambria Math" w:hAnsi="Cambria Math" w:cs="Cambria Math"/>
                    </w:rPr>
                    <m:t>T</m:t>
                  </m:r>
                  <m:ctrlPr>
                    <w:rPr>
                      <w:rFonts w:ascii="Cambria Math" w:eastAsia="Cambria Math" w:hAnsi="Cambria Math" w:cs="Cambria Math"/>
                      <w:i/>
                    </w:rPr>
                  </m:ctrlPr>
                </m:e>
                <m:e>
                  <m:r>
                    <w:rPr>
                      <w:rFonts w:ascii="Cambria Math" w:eastAsia="Cambria Math" w:hAnsi="Cambria Math" w:cs="Cambria Math"/>
                    </w:rPr>
                    <m:t>I</m:t>
                  </m:r>
                  <m:ctrlPr>
                    <w:rPr>
                      <w:rFonts w:ascii="Cambria Math" w:eastAsia="Cambria Math" w:hAnsi="Cambria Math" w:cs="Cambria Math"/>
                      <w:i/>
                    </w:rPr>
                  </m:ctrlPr>
                </m:e>
                <m:e>
                  <m:r>
                    <w:rPr>
                      <w:rFonts w:ascii="Cambria Math" w:eastAsia="Cambria Math" w:hAnsi="Cambria Math" w:cs="Cambria Math"/>
                    </w:rPr>
                    <m:t>E</m:t>
                  </m:r>
                  <m:ctrlPr>
                    <w:rPr>
                      <w:rFonts w:ascii="Cambria Math" w:eastAsia="Cambria Math" w:hAnsi="Cambria Math" w:cs="Cambria Math"/>
                      <w:i/>
                    </w:rPr>
                  </m:ctrlPr>
                </m:e>
                <m:e>
                  <m:r>
                    <w:rPr>
                      <w:rFonts w:ascii="Cambria Math" w:eastAsia="Cambria Math" w:hAnsi="Cambria Math" w:cs="Cambria Math"/>
                    </w:rPr>
                    <m:t>S</m:t>
                  </m:r>
                </m:e>
              </m:eqArr>
              <m:eqArr>
                <m:eqArrPr>
                  <m:ctrlPr>
                    <w:rPr>
                      <w:rFonts w:ascii="Cambria Math" w:eastAsiaTheme="minorEastAsia" w:hAnsi="Cambria Math"/>
                      <w:i/>
                    </w:rPr>
                  </m:ctrlPr>
                </m:eqArrPr>
                <m:e>
                  <m:r>
                    <w:rPr>
                      <w:rFonts w:ascii="Cambria Math" w:eastAsiaTheme="minorEastAsia" w:hAnsi="Cambria Math"/>
                    </w:rPr>
                    <m:t>I</m:t>
                  </m: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eqArr>
              <m:eqArr>
                <m:eqArrPr>
                  <m:ctrlPr>
                    <w:rPr>
                      <w:rFonts w:ascii="Cambria Math" w:eastAsiaTheme="minorEastAsia" w:hAnsi="Cambria Math"/>
                      <w:i/>
                    </w:rPr>
                  </m:ctrlPr>
                </m:eqArrPr>
                <m:e>
                  <m:r>
                    <w:rPr>
                      <w:rFonts w:ascii="Cambria Math" w:eastAsiaTheme="minorEastAsia" w:hAnsi="Cambria Math"/>
                    </w:rPr>
                    <m:t>N</m:t>
                  </m: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eqArr>
              <m:eqArr>
                <m:eqArrPr>
                  <m:ctrlPr>
                    <w:rPr>
                      <w:rFonts w:ascii="Cambria Math" w:eastAsiaTheme="minorEastAsia" w:hAnsi="Cambria Math"/>
                      <w:i/>
                    </w:rPr>
                  </m:ctrlPr>
                </m:eqArrPr>
                <m:e>
                  <m:r>
                    <w:rPr>
                      <w:rFonts w:ascii="Cambria Math" w:eastAsiaTheme="minorEastAsia" w:hAnsi="Cambria Math"/>
                    </w:rPr>
                    <m:t>D</m:t>
                  </m: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eqArr>
              <m:eqArr>
                <m:eqArrPr>
                  <m:ctrlPr>
                    <w:rPr>
                      <w:rFonts w:ascii="Cambria Math" w:eastAsiaTheme="minorEastAsia" w:hAnsi="Cambria Math"/>
                      <w:i/>
                    </w:rPr>
                  </m:ctrlPr>
                </m:eqArrPr>
                <m:e>
                  <m:r>
                    <w:rPr>
                      <w:rFonts w:ascii="Cambria Math" w:eastAsiaTheme="minorEastAsia" w:hAnsi="Cambria Math"/>
                    </w:rPr>
                    <m:t>U</m:t>
                  </m: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eqArr>
              <m:eqArr>
                <m:eqArrPr>
                  <m:ctrlPr>
                    <w:rPr>
                      <w:rFonts w:ascii="Cambria Math" w:eastAsiaTheme="minorEastAsia" w:hAnsi="Cambria Math"/>
                      <w:i/>
                    </w:rPr>
                  </m:ctrlPr>
                </m:eqArrPr>
                <m:e>
                  <m:r>
                    <w:rPr>
                      <w:rFonts w:ascii="Cambria Math" w:eastAsiaTheme="minorEastAsia" w:hAnsi="Cambria Math"/>
                    </w:rPr>
                    <m:t>S</m:t>
                  </m: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U</m:t>
                      </m:r>
                    </m:e>
                    <m:sub>
                      <m:r>
                        <w:rPr>
                          <w:rFonts w:ascii="Cambria Math" w:hAnsi="Cambria Math"/>
                        </w:rPr>
                        <m:t>ij</m:t>
                      </m:r>
                    </m:sub>
                  </m:sSub>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eqArr>
              <m:eqArr>
                <m:eqArrPr>
                  <m:ctrlPr>
                    <w:rPr>
                      <w:rFonts w:ascii="Cambria Math" w:eastAsiaTheme="minorEastAsia" w:hAnsi="Cambria Math"/>
                      <w:i/>
                    </w:rPr>
                  </m:ctrlPr>
                </m:eqArrPr>
                <m:e>
                  <m:r>
                    <w:rPr>
                      <w:rFonts w:ascii="Cambria Math" w:eastAsiaTheme="minorEastAsia" w:hAnsi="Cambria Math"/>
                    </w:rPr>
                    <m:t>T</m:t>
                  </m: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eqArr>
              <m:eqArr>
                <m:eqArrPr>
                  <m:ctrlPr>
                    <w:rPr>
                      <w:rFonts w:ascii="Cambria Math" w:eastAsiaTheme="minorEastAsia" w:hAnsi="Cambria Math"/>
                      <w:i/>
                    </w:rPr>
                  </m:ctrlPr>
                </m:eqArrPr>
                <m:e>
                  <m:r>
                    <w:rPr>
                      <w:rFonts w:ascii="Cambria Math" w:eastAsiaTheme="minorEastAsia" w:hAnsi="Cambria Math"/>
                    </w:rPr>
                    <m:t>R</m:t>
                  </m: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eqArr>
              <m:eqArr>
                <m:eqArrPr>
                  <m:ctrlPr>
                    <w:rPr>
                      <w:rFonts w:ascii="Cambria Math" w:eastAsiaTheme="minorEastAsia" w:hAnsi="Cambria Math"/>
                      <w:i/>
                    </w:rPr>
                  </m:ctrlPr>
                </m:eqArrPr>
                <m:e>
                  <m:r>
                    <w:rPr>
                      <w:rFonts w:ascii="Cambria Math" w:eastAsiaTheme="minorEastAsia" w:hAnsi="Cambria Math"/>
                    </w:rPr>
                    <m:t>I</m:t>
                  </m: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eqArr>
              <m:eqArr>
                <m:eqArrPr>
                  <m:ctrlPr>
                    <w:rPr>
                      <w:rFonts w:ascii="Cambria Math" w:eastAsiaTheme="minorEastAsia" w:hAnsi="Cambria Math"/>
                      <w:i/>
                    </w:rPr>
                  </m:ctrlPr>
                </m:eqArrPr>
                <m:e>
                  <m:r>
                    <w:rPr>
                      <w:rFonts w:ascii="Cambria Math" w:eastAsiaTheme="minorEastAsia" w:hAnsi="Cambria Math"/>
                    </w:rPr>
                    <m:t>E</m:t>
                  </m: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eqArr>
              <m:eqArr>
                <m:eqArrPr>
                  <m:ctrlPr>
                    <w:rPr>
                      <w:rFonts w:ascii="Cambria Math" w:eastAsiaTheme="minorEastAsia" w:hAnsi="Cambria Math"/>
                      <w:i/>
                    </w:rPr>
                  </m:ctrlPr>
                </m:eqArrPr>
                <m:e>
                  <m:r>
                    <w:rPr>
                      <w:rFonts w:ascii="Cambria Math" w:eastAsiaTheme="minorEastAsia" w:hAnsi="Cambria Math"/>
                    </w:rPr>
                    <m:t>S</m:t>
                  </m: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eqArr>
              <m:eqArr>
                <m:eqArrPr>
                  <m:ctrlPr>
                    <w:rPr>
                      <w:rFonts w:ascii="Cambria Math" w:eastAsiaTheme="minorEastAsia" w:hAnsi="Cambria Math"/>
                      <w:i/>
                    </w:rPr>
                  </m:ctrlPr>
                </m:eqArrPr>
                <m:e>
                  <m:r>
                    <w:rPr>
                      <w:rFonts w:ascii="Cambria Math" w:eastAsiaTheme="minorEastAsia" w:hAnsi="Cambria Math"/>
                    </w:rPr>
                    <m:t>|</m:t>
                  </m:r>
                </m:e>
                <m:e>
                  <m:r>
                    <w:rPr>
                      <w:rFonts w:ascii="Cambria Math" w:eastAsiaTheme="minorEastAsia"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eqArr>
              <m:r>
                <w:rPr>
                  <w:rFonts w:ascii="Cambria Math" w:eastAsiaTheme="minorEastAsia" w:hAnsi="Cambria Math"/>
                </w:rPr>
                <m:t>FC</m:t>
              </m:r>
              <m:eqArr>
                <m:eqArrPr>
                  <m:ctrlPr>
                    <w:rPr>
                      <w:rFonts w:ascii="Cambria Math" w:eastAsiaTheme="minorEastAsia" w:hAnsi="Cambria Math"/>
                      <w:i/>
                    </w:rPr>
                  </m:ctrlPr>
                </m:eqArrPr>
                <m:e>
                  <m:r>
                    <w:rPr>
                      <w:rFonts w:ascii="Cambria Math" w:eastAsiaTheme="minorEastAsia" w:hAnsi="Cambria Math"/>
                    </w:rPr>
                    <m:t>|</m:t>
                  </m:r>
                </m:e>
                <m:e>
                  <m:r>
                    <w:rPr>
                      <w:rFonts w:ascii="Cambria Math" w:eastAsiaTheme="minorEastAsia"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eqArr>
              <m:r>
                <w:rPr>
                  <w:rFonts w:ascii="Cambria Math" w:eastAsiaTheme="minorEastAsia" w:hAnsi="Cambria Math"/>
                </w:rPr>
                <m:t>GCF</m:t>
              </m:r>
              <m:eqArr>
                <m:eqArrPr>
                  <m:ctrlPr>
                    <w:rPr>
                      <w:rFonts w:ascii="Cambria Math" w:eastAsiaTheme="minorEastAsia" w:hAnsi="Cambria Math"/>
                      <w:i/>
                    </w:rPr>
                  </m:ctrlPr>
                </m:eqArrPr>
                <m:e>
                  <m:r>
                    <w:rPr>
                      <w:rFonts w:ascii="Cambria Math" w:eastAsiaTheme="minorEastAsia" w:hAnsi="Cambria Math"/>
                    </w:rPr>
                    <m:t>|</m:t>
                  </m:r>
                </m:e>
                <m:e>
                  <m:r>
                    <w:rPr>
                      <w:rFonts w:ascii="Cambria Math" w:eastAsiaTheme="minorEastAsia"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eqArr>
              <m:r>
                <w:rPr>
                  <w:rFonts w:ascii="Cambria Math" w:eastAsiaTheme="minorEastAsia" w:hAnsi="Cambria Math"/>
                </w:rPr>
                <m:t>E</m:t>
              </m:r>
            </m:e>
          </m:d>
        </m:oMath>
      </m:oMathPara>
    </w:p>
    <w:p w14:paraId="602D7BA5" w14:textId="53B73249" w:rsidR="00122CCE" w:rsidRDefault="00122CCE" w:rsidP="00671CC4"/>
    <w:p w14:paraId="461E2838" w14:textId="1093AFB3" w:rsidR="009B0E62" w:rsidRDefault="009B0E62" w:rsidP="009B0E62">
      <w:pPr>
        <w:jc w:val="both"/>
      </w:pPr>
      <w:r>
        <w:t xml:space="preserve">VAT Liability = </w:t>
      </w:r>
      <m:oMath>
        <m:nary>
          <m:naryPr>
            <m:chr m:val="∑"/>
            <m:limLoc m:val="subSup"/>
            <m:supHide m:val="1"/>
            <m:ctrlPr>
              <w:rPr>
                <w:rFonts w:ascii="Cambria Math" w:hAnsi="Cambria Math"/>
                <w:i/>
              </w:rPr>
            </m:ctrlPr>
          </m:naryPr>
          <m:sub>
            <m:r>
              <w:rPr>
                <w:rFonts w:ascii="Cambria Math" w:hAnsi="Cambria Math"/>
              </w:rPr>
              <m:t>c</m:t>
            </m:r>
          </m:sub>
          <m:sup/>
          <m:e>
            <m:r>
              <m:rPr>
                <m:sty m:val="p"/>
              </m:rPr>
              <w:rPr>
                <w:rFonts w:ascii="Cambria Math" w:hAnsi="Cambria Math"/>
              </w:rPr>
              <m:t>(Final Consumption (FC) * Tax Rate (</m:t>
            </m:r>
            <m:sSub>
              <m:sSubPr>
                <m:ctrlPr>
                  <w:rPr>
                    <w:rFonts w:ascii="Cambria Math" w:hAnsi="Cambria Math"/>
                    <w:i/>
                  </w:rPr>
                </m:ctrlPr>
              </m:sSubPr>
              <m:e>
                <m:r>
                  <w:rPr>
                    <w:rFonts w:ascii="Cambria Math" w:hAnsi="Cambria Math"/>
                  </w:rPr>
                  <m:t>τ</m:t>
                </m:r>
              </m:e>
              <m:sub>
                <m:r>
                  <w:rPr>
                    <w:rFonts w:ascii="Cambria Math" w:hAnsi="Cambria Math"/>
                  </w:rPr>
                  <m:t>c</m:t>
                </m:r>
              </m:sub>
            </m:sSub>
            <m:r>
              <m:rPr>
                <m:sty m:val="p"/>
              </m:rPr>
              <w:rPr>
                <w:rFonts w:ascii="Cambria Math" w:eastAsiaTheme="minorEastAsia" w:hAnsi="Cambria Math"/>
              </w:rPr>
              <m:t>))</m:t>
            </m:r>
          </m:e>
        </m:nary>
      </m:oMath>
    </w:p>
    <w:p w14:paraId="7F36D56D" w14:textId="7B7679BA" w:rsidR="00C416D0" w:rsidRDefault="00767EC6" w:rsidP="009B0E62">
      <w:pPr>
        <w:jc w:val="both"/>
      </w:pPr>
      <w:r>
        <w:t>As t</w:t>
      </w:r>
      <w:r w:rsidR="00C416D0">
        <w:t xml:space="preserve">he </w:t>
      </w:r>
      <w:r w:rsidR="00281D00">
        <w:t xml:space="preserve">total </w:t>
      </w:r>
      <w:r w:rsidR="00C416D0">
        <w:t xml:space="preserve">Supply by commodity should be equal to </w:t>
      </w:r>
      <w:r w:rsidR="00281D00">
        <w:t xml:space="preserve">its total </w:t>
      </w:r>
      <w:r w:rsidR="00C416D0">
        <w:t xml:space="preserve">Use by commodity. </w:t>
      </w:r>
    </w:p>
    <w:p w14:paraId="3FA2B530" w14:textId="77777777" w:rsidR="00281D00" w:rsidRDefault="00C416D0" w:rsidP="009B0E62">
      <w:pPr>
        <w:jc w:val="both"/>
      </w:pPr>
      <w:r>
        <w:t xml:space="preserve">Hence, </w:t>
      </w:r>
    </w:p>
    <w:p w14:paraId="5F9A8DB2" w14:textId="76AE89E1" w:rsidR="00C416D0" w:rsidRDefault="00C416D0" w:rsidP="009B0E62">
      <w:pPr>
        <w:jc w:val="both"/>
      </w:pPr>
      <w:r>
        <w:t xml:space="preserve">Supply (S) + Imports (IMP) </w:t>
      </w:r>
      <w:r w:rsidR="00ED430E">
        <w:t xml:space="preserve">+ </w:t>
      </w:r>
      <w:r w:rsidR="00D2005E">
        <w:t>Margins (</w:t>
      </w:r>
      <w:r w:rsidR="00142B24">
        <w:t>R</w:t>
      </w:r>
      <w:r w:rsidR="00D2005E">
        <w:t xml:space="preserve">) + </w:t>
      </w:r>
      <w:r w:rsidR="00ED430E">
        <w:t xml:space="preserve">Tax (T) </w:t>
      </w:r>
      <w:r>
        <w:t xml:space="preserve">= Intermediate Use (U) + </w:t>
      </w:r>
      <w:r w:rsidR="00ED430E">
        <w:t xml:space="preserve">Final Consumption (FC) + Gross Capital Formation (GCF) + </w:t>
      </w:r>
      <w:r w:rsidR="00DE3DB0">
        <w:t>Exports (E)</w:t>
      </w:r>
      <w:r w:rsidR="00281D00">
        <w:tab/>
        <w:t>-----------------------</w:t>
      </w:r>
      <w:r w:rsidR="003E0437">
        <w:t>(2</w:t>
      </w:r>
      <w:r w:rsidR="00281D00">
        <w:t>)</w:t>
      </w:r>
    </w:p>
    <w:p w14:paraId="32D7160C" w14:textId="77777777" w:rsidR="00EE39CD" w:rsidRPr="007A46EE" w:rsidRDefault="00EE39CD" w:rsidP="00671CC4">
      <w:pPr>
        <w:rPr>
          <w:rFonts w:eastAsiaTheme="minorEastAsia" w:cstheme="minorHAnsi"/>
        </w:rPr>
      </w:pPr>
      <w:r>
        <w:rPr>
          <w:rFonts w:eastAsiaTheme="minorEastAsia"/>
        </w:rPr>
        <w:t>That is,</w:t>
      </w:r>
    </w:p>
    <w:p w14:paraId="27629492" w14:textId="2722ED0E" w:rsidR="003066AF" w:rsidRPr="007A46EE" w:rsidRDefault="003066AF" w:rsidP="003066AF">
      <w:pPr>
        <w:spacing w:before="200" w:after="0" w:line="216" w:lineRule="auto"/>
        <w:rPr>
          <w:rFonts w:eastAsiaTheme="minorEastAsia" w:cstheme="minorHAnsi"/>
          <w:color w:val="000000" w:themeColor="text1"/>
          <w:kern w:val="24"/>
        </w:rPr>
      </w:pPr>
      <w:r w:rsidRPr="007A46EE">
        <w:rPr>
          <w:rFonts w:eastAsiaTheme="minorEastAsia" w:cstheme="minorHAnsi"/>
          <w:color w:val="000000" w:themeColor="text1"/>
          <w:kern w:val="24"/>
        </w:rPr>
        <w:t xml:space="preserve">VAT Potential = </w:t>
      </w:r>
      <m:oMath>
        <m:nary>
          <m:naryPr>
            <m:chr m:val="∑"/>
            <m:limLoc m:val="subSup"/>
            <m:supHide m:val="1"/>
            <m:ctrlPr>
              <w:rPr>
                <w:rFonts w:ascii="Cambria Math" w:eastAsiaTheme="minorEastAsia" w:hAnsi="Cambria Math" w:cstheme="minorHAnsi"/>
                <w:i/>
                <w:iCs/>
                <w:color w:val="000000" w:themeColor="text1"/>
                <w:kern w:val="24"/>
              </w:rPr>
            </m:ctrlPr>
          </m:naryPr>
          <m:sub>
            <m:r>
              <w:rPr>
                <w:rFonts w:ascii="Cambria Math" w:eastAsiaTheme="minorEastAsia" w:hAnsi="Cambria Math" w:cstheme="minorHAnsi"/>
                <w:color w:val="000000" w:themeColor="text1"/>
                <w:kern w:val="24"/>
              </w:rPr>
              <m:t>c</m:t>
            </m:r>
          </m:sub>
          <m:sup/>
          <m:e>
            <m:r>
              <m:rPr>
                <m:sty m:val="p"/>
              </m:rPr>
              <w:rPr>
                <w:rFonts w:ascii="Cambria Math" w:eastAsiaTheme="minorEastAsia" w:hAnsi="Cambria Math" w:cstheme="minorHAnsi"/>
                <w:color w:val="000000" w:themeColor="text1"/>
                <w:kern w:val="24"/>
              </w:rPr>
              <m:t>(Final Consumption (FC) </m:t>
            </m:r>
            <m:r>
              <w:rPr>
                <w:rFonts w:ascii="Cambria Math" w:eastAsiaTheme="minorEastAsia" w:hAnsi="Cambria Math" w:cstheme="minorHAnsi"/>
                <w:color w:val="000000" w:themeColor="text1"/>
                <w:kern w:val="24"/>
              </w:rPr>
              <m:t>*</m:t>
            </m:r>
            <m:r>
              <m:rPr>
                <m:sty m:val="p"/>
              </m:rPr>
              <w:rPr>
                <w:rFonts w:ascii="Cambria Math" w:eastAsiaTheme="minorEastAsia" w:hAnsi="Cambria Math" w:cstheme="minorHAnsi"/>
                <w:color w:val="000000" w:themeColor="text1"/>
                <w:kern w:val="24"/>
              </w:rPr>
              <m:t> Tax Rate (</m:t>
            </m:r>
            <m:sSub>
              <m:sSubPr>
                <m:ctrlPr>
                  <w:rPr>
                    <w:rFonts w:ascii="Cambria Math" w:eastAsiaTheme="minorEastAsia" w:hAnsi="Cambria Math" w:cstheme="minorHAnsi"/>
                    <w:i/>
                    <w:iCs/>
                    <w:color w:val="000000" w:themeColor="text1"/>
                    <w:kern w:val="24"/>
                  </w:rPr>
                </m:ctrlPr>
              </m:sSubPr>
              <m:e>
                <m:r>
                  <w:rPr>
                    <w:rFonts w:ascii="Cambria Math" w:eastAsiaTheme="minorEastAsia" w:hAnsi="Cambria Math" w:cstheme="minorHAnsi"/>
                    <w:color w:val="000000" w:themeColor="text1"/>
                    <w:kern w:val="24"/>
                  </w:rPr>
                  <m:t>τ</m:t>
                </m:r>
              </m:e>
              <m:sub>
                <m:r>
                  <w:rPr>
                    <w:rFonts w:ascii="Cambria Math" w:eastAsiaTheme="minorEastAsia" w:hAnsi="Cambria Math" w:cstheme="minorHAnsi"/>
                    <w:color w:val="000000" w:themeColor="text1"/>
                    <w:kern w:val="24"/>
                  </w:rPr>
                  <m:t>c</m:t>
                </m:r>
              </m:sub>
            </m:sSub>
            <m:r>
              <m:rPr>
                <m:sty m:val="p"/>
              </m:rPr>
              <w:rPr>
                <w:rFonts w:ascii="Cambria Math" w:eastAsiaTheme="minorEastAsia" w:hAnsi="Cambria Math" w:cstheme="minorHAnsi"/>
                <w:color w:val="000000" w:themeColor="text1"/>
                <w:kern w:val="24"/>
              </w:rPr>
              <m:t>))</m:t>
            </m:r>
          </m:e>
        </m:nary>
        <m:r>
          <w:rPr>
            <w:rFonts w:ascii="Cambria Math" w:eastAsiaTheme="minorEastAsia" w:hAnsi="Cambria Math" w:cstheme="minorHAnsi"/>
            <w:color w:val="000000" w:themeColor="text1"/>
            <w:kern w:val="24"/>
          </w:rPr>
          <m:t> </m:t>
        </m:r>
      </m:oMath>
      <w:r w:rsidRPr="007A46EE">
        <w:rPr>
          <w:rFonts w:eastAsiaTheme="minorEastAsia" w:cstheme="minorHAnsi"/>
          <w:color w:val="000000" w:themeColor="text1"/>
          <w:kern w:val="24"/>
        </w:rPr>
        <w:t xml:space="preserve">= </w:t>
      </w:r>
    </w:p>
    <w:p w14:paraId="01ECF78C" w14:textId="77777777" w:rsidR="003066AF" w:rsidRPr="007A46EE" w:rsidRDefault="003066AF" w:rsidP="003066AF">
      <w:pPr>
        <w:spacing w:before="200" w:after="0" w:line="216" w:lineRule="auto"/>
        <w:rPr>
          <w:rFonts w:eastAsia="Times New Roman" w:cstheme="minorHAnsi"/>
        </w:rPr>
      </w:pPr>
    </w:p>
    <w:p w14:paraId="2BA1BEA9" w14:textId="36C360B3" w:rsidR="00F65A1F" w:rsidRPr="007A46EE" w:rsidRDefault="00D91082" w:rsidP="003066AF">
      <w:pPr>
        <w:rPr>
          <w:rFonts w:cstheme="minorHAnsi"/>
        </w:rPr>
      </w:pPr>
      <m:oMath>
        <m:nary>
          <m:naryPr>
            <m:chr m:val="∑"/>
            <m:limLoc m:val="subSup"/>
            <m:supHide m:val="1"/>
            <m:ctrlPr>
              <w:rPr>
                <w:rFonts w:ascii="Cambria Math" w:eastAsiaTheme="minorEastAsia" w:hAnsi="Cambria Math" w:cstheme="minorHAnsi"/>
                <w:i/>
                <w:iCs/>
                <w:color w:val="000000" w:themeColor="text1"/>
                <w:kern w:val="24"/>
              </w:rPr>
            </m:ctrlPr>
          </m:naryPr>
          <m:sub>
            <m:r>
              <w:rPr>
                <w:rFonts w:ascii="Cambria Math" w:eastAsiaTheme="minorEastAsia" w:hAnsi="Cambria Math" w:cstheme="minorHAnsi"/>
                <w:color w:val="000000" w:themeColor="text1"/>
                <w:kern w:val="24"/>
              </w:rPr>
              <m:t>c</m:t>
            </m:r>
          </m:sub>
          <m:sup/>
          <m:e>
            <m:eqArr>
              <m:eqArrPr>
                <m:ctrlPr>
                  <w:rPr>
                    <w:rFonts w:ascii="Cambria Math" w:eastAsiaTheme="minorEastAsia" w:hAnsi="Cambria Math" w:cstheme="minorHAnsi"/>
                    <w:i/>
                    <w:iCs/>
                    <w:color w:val="000000" w:themeColor="text1"/>
                    <w:kern w:val="24"/>
                  </w:rPr>
                </m:ctrlPr>
              </m:eqArrPr>
              <m:e>
                <m:sSub>
                  <m:sSubPr>
                    <m:ctrlPr>
                      <w:rPr>
                        <w:rFonts w:ascii="Cambria Math" w:eastAsiaTheme="minorEastAsia" w:hAnsi="Cambria Math" w:cstheme="minorHAnsi"/>
                        <w:i/>
                        <w:iCs/>
                        <w:color w:val="000000" w:themeColor="text1"/>
                        <w:kern w:val="24"/>
                      </w:rPr>
                    </m:ctrlPr>
                  </m:sSubPr>
                  <m:e>
                    <m:r>
                      <w:rPr>
                        <w:rFonts w:ascii="Cambria Math" w:eastAsiaTheme="minorEastAsia" w:hAnsi="Cambria Math" w:cstheme="minorHAnsi"/>
                        <w:color w:val="000000" w:themeColor="text1"/>
                        <w:kern w:val="24"/>
                      </w:rPr>
                      <m:t>(τ</m:t>
                    </m:r>
                  </m:e>
                  <m:sub>
                    <m:r>
                      <w:rPr>
                        <w:rFonts w:ascii="Cambria Math" w:eastAsiaTheme="minorEastAsia" w:hAnsi="Cambria Math" w:cstheme="minorHAnsi"/>
                        <w:color w:val="000000" w:themeColor="text1"/>
                        <w:kern w:val="24"/>
                      </w:rPr>
                      <m:t>c</m:t>
                    </m:r>
                  </m:sub>
                </m:sSub>
                <m:r>
                  <m:rPr>
                    <m:nor/>
                  </m:rPr>
                  <w:rPr>
                    <w:rFonts w:eastAsiaTheme="minorEastAsia" w:cstheme="minorHAnsi"/>
                    <w:color w:val="000000" w:themeColor="text1"/>
                    <w:kern w:val="24"/>
                  </w:rPr>
                  <m:t> x {Supply (S) - Exports (X)} -  </m:t>
                </m:r>
                <m:sSub>
                  <m:sSubPr>
                    <m:ctrlPr>
                      <w:rPr>
                        <w:rFonts w:ascii="Cambria Math" w:eastAsiaTheme="minorEastAsia" w:hAnsi="Cambria Math" w:cstheme="minorHAnsi"/>
                        <w:i/>
                        <w:iCs/>
                        <w:color w:val="000000" w:themeColor="text1"/>
                        <w:kern w:val="24"/>
                      </w:rPr>
                    </m:ctrlPr>
                  </m:sSubPr>
                  <m:e>
                    <m:r>
                      <w:rPr>
                        <w:rFonts w:ascii="Cambria Math" w:eastAsiaTheme="minorEastAsia" w:hAnsi="Cambria Math" w:cstheme="minorHAnsi"/>
                        <w:color w:val="000000" w:themeColor="text1"/>
                        <w:kern w:val="24"/>
                      </w:rPr>
                      <m:t>τ</m:t>
                    </m:r>
                  </m:e>
                  <m:sub>
                    <m:r>
                      <w:rPr>
                        <w:rFonts w:ascii="Cambria Math" w:eastAsiaTheme="minorEastAsia" w:hAnsi="Cambria Math" w:cstheme="minorHAnsi"/>
                        <w:color w:val="000000" w:themeColor="text1"/>
                        <w:kern w:val="24"/>
                      </w:rPr>
                      <m:t>c</m:t>
                    </m:r>
                  </m:sub>
                </m:sSub>
                <m:r>
                  <m:rPr>
                    <m:nor/>
                  </m:rPr>
                  <w:rPr>
                    <w:rFonts w:eastAsiaTheme="minorEastAsia" w:cstheme="minorHAnsi"/>
                    <w:color w:val="000000" w:themeColor="text1"/>
                    <w:kern w:val="24"/>
                  </w:rPr>
                  <m:t> x {Intermediate Use (U) + Gross Capital Formation (I) </m:t>
                </m:r>
                <m:ctrlPr>
                  <w:rPr>
                    <w:rFonts w:ascii="Cambria Math" w:eastAsiaTheme="minorEastAsia" w:hAnsi="Cambria Math" w:cstheme="minorHAnsi"/>
                    <w:color w:val="000000" w:themeColor="text1"/>
                    <w:kern w:val="24"/>
                  </w:rPr>
                </m:ctrlPr>
              </m:e>
              <m:e>
                <m:r>
                  <m:rPr>
                    <m:nor/>
                  </m:rPr>
                  <w:rPr>
                    <w:rFonts w:eastAsiaTheme="minorEastAsia" w:cstheme="minorHAnsi"/>
                    <w:color w:val="000000" w:themeColor="text1"/>
                    <w:kern w:val="24"/>
                  </w:rPr>
                  <m:t>- Tax (T)  } +  </m:t>
                </m:r>
                <m:sSub>
                  <m:sSubPr>
                    <m:ctrlPr>
                      <w:rPr>
                        <w:rFonts w:ascii="Cambria Math" w:eastAsiaTheme="minorEastAsia" w:hAnsi="Cambria Math" w:cstheme="minorHAnsi"/>
                        <w:i/>
                        <w:iCs/>
                        <w:color w:val="000000" w:themeColor="text1"/>
                        <w:kern w:val="24"/>
                      </w:rPr>
                    </m:ctrlPr>
                  </m:sSubPr>
                  <m:e>
                    <m:r>
                      <w:rPr>
                        <w:rFonts w:ascii="Cambria Math" w:eastAsiaTheme="minorEastAsia" w:hAnsi="Cambria Math" w:cstheme="minorHAnsi"/>
                        <w:color w:val="000000" w:themeColor="text1"/>
                        <w:kern w:val="24"/>
                      </w:rPr>
                      <m:t>τ</m:t>
                    </m:r>
                  </m:e>
                  <m:sub>
                    <m:r>
                      <w:rPr>
                        <w:rFonts w:ascii="Cambria Math" w:eastAsiaTheme="minorEastAsia" w:hAnsi="Cambria Math" w:cstheme="minorHAnsi"/>
                        <w:color w:val="000000" w:themeColor="text1"/>
                        <w:kern w:val="24"/>
                      </w:rPr>
                      <m:t>c</m:t>
                    </m:r>
                  </m:sub>
                </m:sSub>
                <m:r>
                  <m:rPr>
                    <m:nor/>
                  </m:rPr>
                  <w:rPr>
                    <w:rFonts w:eastAsiaTheme="minorEastAsia" w:cstheme="minorHAnsi"/>
                    <w:color w:val="000000" w:themeColor="text1"/>
                    <w:kern w:val="24"/>
                  </w:rPr>
                  <m:t> x Imports (M))</m:t>
                </m:r>
                <m:ctrlPr>
                  <w:rPr>
                    <w:rFonts w:ascii="Cambria Math" w:eastAsiaTheme="minorEastAsia" w:hAnsi="Cambria Math" w:cstheme="minorHAnsi"/>
                    <w:color w:val="000000" w:themeColor="text1"/>
                    <w:kern w:val="24"/>
                  </w:rPr>
                </m:ctrlPr>
              </m:e>
            </m:eqArr>
          </m:e>
        </m:nary>
      </m:oMath>
      <w:r w:rsidR="00281D00" w:rsidRPr="007A46EE">
        <w:rPr>
          <w:rFonts w:cstheme="minorHAnsi"/>
        </w:rPr>
        <w:t>-----------------------(</w:t>
      </w:r>
      <w:r w:rsidR="003E0437" w:rsidRPr="007A46EE">
        <w:rPr>
          <w:rFonts w:cstheme="minorHAnsi"/>
        </w:rPr>
        <w:t>3</w:t>
      </w:r>
      <w:r w:rsidR="00281D00" w:rsidRPr="007A46EE">
        <w:rPr>
          <w:rFonts w:cstheme="minorHAnsi"/>
        </w:rPr>
        <w:t>)</w:t>
      </w:r>
    </w:p>
    <w:p w14:paraId="0D48949B" w14:textId="76BE541F" w:rsidR="00F65A1F" w:rsidRDefault="0043512F" w:rsidP="00671CC4">
      <w:r>
        <w:t xml:space="preserve">Note that the sum of Margins across commodities </w:t>
      </w:r>
      <m:oMath>
        <m:nary>
          <m:naryPr>
            <m:chr m:val="∑"/>
            <m:limLoc m:val="undOvr"/>
            <m:supHide m:val="1"/>
            <m:ctrlPr>
              <w:rPr>
                <w:rFonts w:ascii="Cambria Math" w:hAnsi="Cambria Math"/>
                <w:i/>
              </w:rPr>
            </m:ctrlPr>
          </m:naryPr>
          <m:sub>
            <m:r>
              <w:rPr>
                <w:rFonts w:ascii="Cambria Math" w:hAnsi="Cambria Math"/>
              </w:rPr>
              <m:t>c</m:t>
            </m:r>
          </m:sub>
          <m:sup/>
          <m:e>
            <m:sSub>
              <m:sSubPr>
                <m:ctrlPr>
                  <w:rPr>
                    <w:rFonts w:ascii="Cambria Math" w:hAnsi="Cambria Math"/>
                    <w:i/>
                  </w:rPr>
                </m:ctrlPr>
              </m:sSubPr>
              <m:e>
                <m:r>
                  <w:rPr>
                    <w:rFonts w:ascii="Cambria Math" w:hAnsi="Cambria Math"/>
                  </w:rPr>
                  <m:t>R</m:t>
                </m:r>
              </m:e>
              <m:sub>
                <m:r>
                  <w:rPr>
                    <w:rFonts w:ascii="Cambria Math" w:hAnsi="Cambria Math"/>
                  </w:rPr>
                  <m:t>c</m:t>
                </m:r>
              </m:sub>
            </m:sSub>
          </m:e>
        </m:nary>
      </m:oMath>
      <w:r>
        <w:t xml:space="preserve"> = 0, as any </w:t>
      </w:r>
      <w:r w:rsidR="00BF2500">
        <w:t xml:space="preserve">positive </w:t>
      </w:r>
      <w:r w:rsidR="005A35FE">
        <w:t>Trade/Transport margin</w:t>
      </w:r>
      <w:r w:rsidR="00BA09B6">
        <w:t xml:space="preserve"> </w:t>
      </w:r>
      <w:r w:rsidR="00BF2500">
        <w:t xml:space="preserve">paid by the non-Trade sector is balanced by positive margins </w:t>
      </w:r>
      <w:r w:rsidR="004C2AC4">
        <w:t xml:space="preserve">earned by </w:t>
      </w:r>
      <w:r w:rsidR="00BA09B6">
        <w:t>the Trade sectors</w:t>
      </w:r>
      <w:r w:rsidR="00BF2500">
        <w:t>.</w:t>
      </w:r>
      <w:r w:rsidR="00C15654">
        <w:t xml:space="preserve"> Hence this is not </w:t>
      </w:r>
      <w:proofErr w:type="gramStart"/>
      <w:r w:rsidR="00C15654">
        <w:t>appear</w:t>
      </w:r>
      <w:proofErr w:type="gramEnd"/>
      <w:r w:rsidR="00C15654">
        <w:t xml:space="preserve"> in (3)</w:t>
      </w:r>
    </w:p>
    <w:p w14:paraId="04BC636C" w14:textId="77777777" w:rsidR="00FB2B3A" w:rsidRDefault="00FB2B3A" w:rsidP="00671CC4"/>
    <w:p w14:paraId="3A3C03CE" w14:textId="0D36DAAF" w:rsidR="00FB2B3A" w:rsidRDefault="00F81729" w:rsidP="00671CC4">
      <w:pPr>
        <w:rPr>
          <w:rFonts w:eastAsiaTheme="minorEastAsia"/>
        </w:rPr>
      </w:pPr>
      <w:r>
        <w:t>Notation</w:t>
      </w:r>
      <w:r w:rsidR="00FB2B3A">
        <w:t xml:space="preserve"> – Supply (S) and Intermediate </w:t>
      </w:r>
      <w:r w:rsidR="00FB2B3A">
        <w:rPr>
          <w:rFonts w:eastAsiaTheme="minorEastAsia"/>
        </w:rPr>
        <w:t xml:space="preserve">Use (U) </w:t>
      </w:r>
      <w:r w:rsidR="00FB2B3A">
        <w:t xml:space="preserve">is given by commodity (c) as well as commodity (i) and is denoted as </w:t>
      </w:r>
      <m:oMath>
        <m:sSub>
          <m:sSubPr>
            <m:ctrlPr>
              <w:rPr>
                <w:rFonts w:ascii="Cambria Math" w:hAnsi="Cambria Math"/>
                <w:i/>
              </w:rPr>
            </m:ctrlPr>
          </m:sSubPr>
          <m:e>
            <m:r>
              <w:rPr>
                <w:rFonts w:ascii="Cambria Math" w:hAnsi="Cambria Math"/>
              </w:rPr>
              <m:t>S</m:t>
            </m:r>
          </m:e>
          <m:sub>
            <m:r>
              <w:rPr>
                <w:rFonts w:ascii="Cambria Math" w:hAnsi="Cambria Math"/>
              </w:rPr>
              <m:t>ci</m:t>
            </m:r>
          </m:sub>
        </m:sSub>
      </m:oMath>
      <w:r w:rsidR="00FB2B3A">
        <w:rPr>
          <w:rFonts w:eastAsiaTheme="minorEastAsia"/>
        </w:rPr>
        <w:t xml:space="preserve"> and </w:t>
      </w:r>
      <m:oMath>
        <m:sSub>
          <m:sSubPr>
            <m:ctrlPr>
              <w:rPr>
                <w:rFonts w:ascii="Cambria Math" w:hAnsi="Cambria Math"/>
                <w:i/>
              </w:rPr>
            </m:ctrlPr>
          </m:sSubPr>
          <m:e>
            <m:r>
              <w:rPr>
                <w:rFonts w:ascii="Cambria Math" w:hAnsi="Cambria Math"/>
              </w:rPr>
              <m:t>U</m:t>
            </m:r>
          </m:e>
          <m:sub>
            <m:r>
              <w:rPr>
                <w:rFonts w:ascii="Cambria Math" w:hAnsi="Cambria Math"/>
              </w:rPr>
              <m:t>ci</m:t>
            </m:r>
          </m:sub>
        </m:sSub>
      </m:oMath>
      <w:r w:rsidR="00FB2B3A">
        <w:rPr>
          <w:rFonts w:eastAsiaTheme="minorEastAsia"/>
        </w:rPr>
        <w:t xml:space="preserve"> respectively. All other terms are given by commodity (c) and denoted as </w:t>
      </w:r>
      <m:oMath>
        <m:sSub>
          <m:sSubPr>
            <m:ctrlPr>
              <w:rPr>
                <w:rFonts w:ascii="Cambria Math" w:hAnsi="Cambria Math"/>
                <w:i/>
              </w:rPr>
            </m:ctrlPr>
          </m:sSubPr>
          <m:e>
            <m:r>
              <w:rPr>
                <w:rFonts w:ascii="Cambria Math" w:hAnsi="Cambria Math"/>
              </w:rPr>
              <m:t>E</m:t>
            </m:r>
          </m:e>
          <m:sub>
            <m:r>
              <w:rPr>
                <w:rFonts w:ascii="Cambria Math" w:hAnsi="Cambria Math"/>
              </w:rPr>
              <m:t>c</m:t>
            </m:r>
          </m:sub>
        </m:sSub>
      </m:oMath>
      <w:r w:rsidR="00FB2B3A">
        <w:rPr>
          <w:rFonts w:eastAsiaTheme="minorEastAsia"/>
        </w:rPr>
        <w:t xml:space="preserve"> for Exports, </w:t>
      </w:r>
      <w:r w:rsidR="00FB2B3A">
        <w:t xml:space="preserve">Trade/Transport Margins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FB2B3A">
        <w:rPr>
          <w:rFonts w:eastAsiaTheme="minorEastAsia"/>
        </w:rPr>
        <w:t xml:space="preserve"> , </w:t>
      </w:r>
      <w:r w:rsidR="00FB2B3A">
        <w:t xml:space="preserve">Imports  </w:t>
      </w:r>
      <m:oMath>
        <m:sSub>
          <m:sSubPr>
            <m:ctrlPr>
              <w:rPr>
                <w:rFonts w:ascii="Cambria Math" w:hAnsi="Cambria Math"/>
                <w:i/>
              </w:rPr>
            </m:ctrlPr>
          </m:sSubPr>
          <m:e>
            <m:r>
              <w:rPr>
                <w:rFonts w:ascii="Cambria Math" w:hAnsi="Cambria Math"/>
              </w:rPr>
              <m:t>I</m:t>
            </m:r>
          </m:e>
          <m:sub>
            <m:r>
              <w:rPr>
                <w:rFonts w:ascii="Cambria Math" w:hAnsi="Cambria Math"/>
              </w:rPr>
              <m:t>c</m:t>
            </m:r>
          </m:sub>
        </m:sSub>
      </m:oMath>
      <w:r w:rsidR="00F209B1">
        <w:rPr>
          <w:rFonts w:eastAsiaTheme="minorEastAsia"/>
        </w:rPr>
        <w:t xml:space="preserve">, Gross Fixed Capital Formation </w:t>
      </w:r>
      <m:oMath>
        <m:sSub>
          <m:sSubPr>
            <m:ctrlPr>
              <w:rPr>
                <w:rFonts w:ascii="Cambria Math" w:hAnsi="Cambria Math"/>
                <w:i/>
              </w:rPr>
            </m:ctrlPr>
          </m:sSubPr>
          <m:e>
            <m:r>
              <w:rPr>
                <w:rFonts w:ascii="Cambria Math" w:hAnsi="Cambria Math"/>
              </w:rPr>
              <m:t>I</m:t>
            </m:r>
          </m:e>
          <m:sub>
            <m:r>
              <w:rPr>
                <w:rFonts w:ascii="Cambria Math" w:hAnsi="Cambria Math"/>
              </w:rPr>
              <m:t>c</m:t>
            </m:r>
          </m:sub>
        </m:sSub>
      </m:oMath>
      <w:r w:rsidR="00F209B1">
        <w:rPr>
          <w:rFonts w:eastAsiaTheme="minorEastAsia"/>
        </w:rPr>
        <w:t xml:space="preserve"> ,  </w:t>
      </w:r>
      <w:r w:rsidR="00F209B1">
        <w:t xml:space="preserve">Imports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sidR="00F209B1">
        <w:rPr>
          <w:rFonts w:eastAsiaTheme="minorEastAsia"/>
        </w:rPr>
        <w:t xml:space="preserve"> </w:t>
      </w:r>
      <w:r w:rsidR="00FB2B3A">
        <w:t xml:space="preserve">and Taxes </w:t>
      </w:r>
      <m:oMath>
        <m:sSub>
          <m:sSubPr>
            <m:ctrlPr>
              <w:rPr>
                <w:rFonts w:ascii="Cambria Math" w:hAnsi="Cambria Math"/>
                <w:i/>
              </w:rPr>
            </m:ctrlPr>
          </m:sSubPr>
          <m:e>
            <m:r>
              <w:rPr>
                <w:rFonts w:ascii="Cambria Math" w:hAnsi="Cambria Math"/>
              </w:rPr>
              <m:t>T</m:t>
            </m:r>
          </m:e>
          <m:sub>
            <m:r>
              <w:rPr>
                <w:rFonts w:ascii="Cambria Math" w:hAnsi="Cambria Math"/>
              </w:rPr>
              <m:t>c</m:t>
            </m:r>
          </m:sub>
        </m:sSub>
      </m:oMath>
      <w:r w:rsidR="00FB2B3A">
        <w:rPr>
          <w:rFonts w:eastAsiaTheme="minorEastAsia"/>
        </w:rPr>
        <w:t>.</w:t>
      </w:r>
    </w:p>
    <w:p w14:paraId="5544ABA0" w14:textId="1E4C9B5E" w:rsidR="00FB2B3A" w:rsidRDefault="00FB2B3A" w:rsidP="00671CC4">
      <w:pPr>
        <w:rPr>
          <w:rFonts w:eastAsiaTheme="minorEastAsia"/>
        </w:rPr>
      </w:pPr>
      <w:r>
        <w:rPr>
          <w:rFonts w:eastAsiaTheme="minorEastAsia"/>
        </w:rPr>
        <w:t xml:space="preserve">Among the policy parameters, </w:t>
      </w:r>
      <w:r w:rsidR="004B3C3D">
        <w:rPr>
          <w:rFonts w:eastAsiaTheme="minorEastAsia"/>
        </w:rPr>
        <w:t>t</w:t>
      </w:r>
      <w:r>
        <w:rPr>
          <w:rFonts w:eastAsiaTheme="minorEastAsia"/>
        </w:rPr>
        <w:t xml:space="preserve">he Tax Rate </w:t>
      </w:r>
      <m:oMath>
        <m:sSub>
          <m:sSubPr>
            <m:ctrlPr>
              <w:rPr>
                <w:rFonts w:ascii="Cambria Math" w:hAnsi="Cambria Math"/>
                <w:i/>
              </w:rPr>
            </m:ctrlPr>
          </m:sSubPr>
          <m:e>
            <m:r>
              <w:rPr>
                <w:rFonts w:ascii="Cambria Math" w:hAnsi="Cambria Math"/>
              </w:rPr>
              <m:t>τ</m:t>
            </m:r>
          </m:e>
          <m:sub>
            <m:r>
              <w:rPr>
                <w:rFonts w:ascii="Cambria Math" w:hAnsi="Cambria Math"/>
              </w:rPr>
              <m:t>c</m:t>
            </m:r>
          </m:sub>
        </m:sSub>
      </m:oMath>
      <w:r>
        <w:rPr>
          <w:rFonts w:eastAsiaTheme="minorEastAsia"/>
        </w:rPr>
        <w:t xml:space="preserve">  is </w:t>
      </w:r>
      <w:r w:rsidR="004B3C3D">
        <w:rPr>
          <w:rFonts w:eastAsiaTheme="minorEastAsia"/>
        </w:rPr>
        <w:t xml:space="preserve">given by commodity, the percentage of supply that is exempt for each of the industries (i) is given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4B3C3D">
        <w:rPr>
          <w:rFonts w:eastAsiaTheme="minorEastAsia"/>
        </w:rPr>
        <w:t xml:space="preserve"> and the pe</w:t>
      </w:r>
      <w:proofErr w:type="spellStart"/>
      <w:r w:rsidR="00543E39">
        <w:rPr>
          <w:rFonts w:eastAsiaTheme="minorEastAsia"/>
        </w:rPr>
        <w:t>rcentage</w:t>
      </w:r>
      <w:proofErr w:type="spellEnd"/>
      <w:r w:rsidR="00543E39">
        <w:rPr>
          <w:rFonts w:eastAsiaTheme="minorEastAsia"/>
        </w:rPr>
        <w:t xml:space="preserve"> of the value added in Industry</w:t>
      </w:r>
      <w:r w:rsidR="004B3C3D">
        <w:rPr>
          <w:rFonts w:eastAsiaTheme="minorEastAsia"/>
        </w:rPr>
        <w:t xml:space="preserve"> (i) that is produced by VAT registered entities is given by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4B3C3D">
        <w:rPr>
          <w:rFonts w:eastAsiaTheme="minorEastAsia"/>
        </w:rPr>
        <w:t>.</w:t>
      </w:r>
    </w:p>
    <w:p w14:paraId="630E92E7" w14:textId="412685CE" w:rsidR="004B3C3D" w:rsidRDefault="004B3C3D" w:rsidP="00671CC4">
      <w:pPr>
        <w:rPr>
          <w:rFonts w:eastAsiaTheme="minorEastAsia"/>
        </w:rPr>
      </w:pPr>
    </w:p>
    <w:p w14:paraId="0F9E4053" w14:textId="7C5AA50D" w:rsidR="003E0437" w:rsidRDefault="0085004C" w:rsidP="00671CC4">
      <w:r w:rsidRPr="005141B4">
        <w:rPr>
          <w:b/>
        </w:rPr>
        <w:t>Excel Model</w:t>
      </w:r>
      <w:r w:rsidR="003E0437" w:rsidRPr="005141B4">
        <w:rPr>
          <w:b/>
        </w:rPr>
        <w:t xml:space="preserve"> for estimating potential VAT and VAT Gap</w:t>
      </w:r>
      <w:r w:rsidRPr="005141B4">
        <w:rPr>
          <w:b/>
        </w:rPr>
        <w:t>:</w:t>
      </w:r>
      <w:r w:rsidR="003E0437">
        <w:t xml:space="preserve"> The Excel Model estimates the VAT base as shown in equation 3.</w:t>
      </w:r>
    </w:p>
    <w:p w14:paraId="3C7ADFCE" w14:textId="378DF88E" w:rsidR="003E0437" w:rsidRDefault="005141B4" w:rsidP="00671CC4">
      <w:r>
        <w:t xml:space="preserve">(4) ----------- </w:t>
      </w:r>
      <w:r w:rsidR="003E0437">
        <w:t xml:space="preserve">{Supply (S) - Exports (X)} x </w:t>
      </w:r>
      <m:oMath>
        <m:sSub>
          <m:sSubPr>
            <m:ctrlPr>
              <w:rPr>
                <w:rFonts w:ascii="Cambria Math" w:hAnsi="Cambria Math"/>
                <w:i/>
              </w:rPr>
            </m:ctrlPr>
          </m:sSubPr>
          <m:e>
            <m:r>
              <w:rPr>
                <w:rFonts w:ascii="Cambria Math" w:hAnsi="Cambria Math"/>
              </w:rPr>
              <m:t>τ</m:t>
            </m:r>
          </m:e>
          <m:sub>
            <m:r>
              <w:rPr>
                <w:rFonts w:ascii="Cambria Math" w:hAnsi="Cambria Math"/>
              </w:rPr>
              <m:t>c</m:t>
            </m:r>
          </m:sub>
        </m:sSub>
      </m:oMath>
      <w:r w:rsidR="003E0437">
        <w:rPr>
          <w:rFonts w:eastAsiaTheme="minorEastAsia"/>
        </w:rPr>
        <w:t xml:space="preserve">   </w:t>
      </w:r>
      <w:r w:rsidR="003E0437">
        <w:t xml:space="preserve">is the domestic output that is taxed for each </w:t>
      </w:r>
      <w:r>
        <w:t>Industry</w:t>
      </w:r>
      <w:r w:rsidR="003E0437">
        <w:t>.</w:t>
      </w:r>
    </w:p>
    <w:p w14:paraId="5F9AC2C0" w14:textId="50546EDB" w:rsidR="003E0437" w:rsidRDefault="005141B4" w:rsidP="00671CC4">
      <w:r>
        <w:t xml:space="preserve">(5) ----------- </w:t>
      </w:r>
      <w:r w:rsidR="003E0437">
        <w:t xml:space="preserve">{Intermediate Use (U) + Gross Capital Formation (I) – Tax (T)} x  </w:t>
      </w:r>
      <m:oMath>
        <m:sSub>
          <m:sSubPr>
            <m:ctrlPr>
              <w:rPr>
                <w:rFonts w:ascii="Cambria Math" w:hAnsi="Cambria Math"/>
                <w:i/>
              </w:rPr>
            </m:ctrlPr>
          </m:sSubPr>
          <m:e>
            <m:r>
              <w:rPr>
                <w:rFonts w:ascii="Cambria Math" w:hAnsi="Cambria Math"/>
              </w:rPr>
              <m:t>τ</m:t>
            </m:r>
          </m:e>
          <m:sub>
            <m:r>
              <w:rPr>
                <w:rFonts w:ascii="Cambria Math" w:hAnsi="Cambria Math"/>
              </w:rPr>
              <m:t>c</m:t>
            </m:r>
          </m:sub>
        </m:sSub>
      </m:oMath>
      <w:r w:rsidR="003E0437">
        <w:rPr>
          <w:rFonts w:eastAsiaTheme="minorEastAsia"/>
        </w:rPr>
        <w:t xml:space="preserve">  </w:t>
      </w:r>
      <w:r w:rsidR="003E0437">
        <w:t xml:space="preserve">is the input tax credit that is available for each </w:t>
      </w:r>
      <w:r>
        <w:t>Industry</w:t>
      </w:r>
      <w:r w:rsidR="003E0437">
        <w:t>.</w:t>
      </w:r>
    </w:p>
    <w:p w14:paraId="19E73581" w14:textId="7D23BA37" w:rsidR="003E0437" w:rsidRDefault="005141B4" w:rsidP="00671CC4">
      <w:r>
        <w:t xml:space="preserve">(6) ----------- </w:t>
      </w:r>
      <w:r w:rsidR="003E0437">
        <w:t xml:space="preserve">Imports (M) x  </w:t>
      </w:r>
      <m:oMath>
        <m:sSub>
          <m:sSubPr>
            <m:ctrlPr>
              <w:rPr>
                <w:rFonts w:ascii="Cambria Math" w:hAnsi="Cambria Math"/>
                <w:i/>
              </w:rPr>
            </m:ctrlPr>
          </m:sSubPr>
          <m:e>
            <m:r>
              <w:rPr>
                <w:rFonts w:ascii="Cambria Math" w:hAnsi="Cambria Math"/>
              </w:rPr>
              <m:t>τ</m:t>
            </m:r>
          </m:e>
          <m:sub>
            <m:r>
              <w:rPr>
                <w:rFonts w:ascii="Cambria Math" w:hAnsi="Cambria Math"/>
              </w:rPr>
              <m:t>c</m:t>
            </m:r>
          </m:sub>
        </m:sSub>
      </m:oMath>
      <w:r w:rsidR="003E0437">
        <w:rPr>
          <w:rFonts w:eastAsiaTheme="minorEastAsia"/>
        </w:rPr>
        <w:t xml:space="preserve">  </w:t>
      </w:r>
      <w:r w:rsidR="003E0437">
        <w:t>is the VAT paid on importation</w:t>
      </w:r>
      <w:r>
        <w:t xml:space="preserve"> by each Industry</w:t>
      </w:r>
      <w:r w:rsidR="003E0437">
        <w:t xml:space="preserve">. </w:t>
      </w:r>
    </w:p>
    <w:p w14:paraId="49B9BA27" w14:textId="16FBA147" w:rsidR="003E0437" w:rsidRDefault="003E0437" w:rsidP="00671CC4"/>
    <w:p w14:paraId="3997B985" w14:textId="7C726102" w:rsidR="005141B4" w:rsidRDefault="005141B4" w:rsidP="00671CC4">
      <w:r>
        <w:t xml:space="preserve">While Supply and Use are available by commodity as well as industry, the other terms are only available by commodity. Hence these need to be allocated across industries. </w:t>
      </w:r>
      <w:proofErr w:type="gramStart"/>
      <w:r>
        <w:t>In order to</w:t>
      </w:r>
      <w:proofErr w:type="gramEnd"/>
      <w:r>
        <w:t xml:space="preserve"> do so we apply certain assumptions,</w:t>
      </w:r>
    </w:p>
    <w:p w14:paraId="4B00923F" w14:textId="1700BDBB" w:rsidR="005141B4" w:rsidRDefault="00DF6374" w:rsidP="00671CC4">
      <w:r>
        <w:t xml:space="preserve">Assumptions - </w:t>
      </w:r>
    </w:p>
    <w:p w14:paraId="7E506469" w14:textId="6225B1BE" w:rsidR="005141B4" w:rsidRDefault="005141B4" w:rsidP="00DF6374">
      <w:pPr>
        <w:pStyle w:val="ListParagraph"/>
        <w:numPr>
          <w:ilvl w:val="0"/>
          <w:numId w:val="1"/>
        </w:numPr>
      </w:pPr>
      <w:r>
        <w:t xml:space="preserve">Imports of a commodity (c) are allocated </w:t>
      </w:r>
      <w:r w:rsidR="00654814">
        <w:t xml:space="preserve">to industry (i) </w:t>
      </w:r>
      <w:r>
        <w:t xml:space="preserve">in the ratio of </w:t>
      </w:r>
      <w:r w:rsidR="00E055C6">
        <w:t>its intermediate</w:t>
      </w:r>
      <w:r>
        <w:t xml:space="preserve"> use by </w:t>
      </w:r>
      <w:r w:rsidR="00E055C6">
        <w:t xml:space="preserve">industry (i) to its total use i.e. intermediate use, </w:t>
      </w:r>
      <w:r>
        <w:t>final consumption and gross capital formation</w:t>
      </w:r>
    </w:p>
    <w:p w14:paraId="4E66E008" w14:textId="2C7CCF20" w:rsidR="005141B4" w:rsidRPr="00DF6374" w:rsidRDefault="00D91082" w:rsidP="00DF6374">
      <w:pPr>
        <w:jc w:val="center"/>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ci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c</m:t>
            </m:r>
          </m:sub>
        </m:sSub>
        <m:r>
          <w:rPr>
            <w:rFonts w:ascii="Cambria Math"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ci</m:t>
                </m:r>
              </m:sub>
            </m:sSub>
          </m:num>
          <m:den>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i</m:t>
                </m:r>
              </m:sub>
              <m:sup/>
              <m:e>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ci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c</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c</m:t>
                    </m:r>
                  </m:sub>
                </m:sSub>
              </m:e>
            </m:nary>
          </m:den>
        </m:f>
      </m:oMath>
      <w:r w:rsidR="002878ED">
        <w:rPr>
          <w:rFonts w:eastAsiaTheme="minorEastAsia"/>
          <w:sz w:val="28"/>
          <w:szCs w:val="28"/>
        </w:rPr>
        <w:t xml:space="preserve">      </w:t>
      </w:r>
      <w:r w:rsidR="002878ED" w:rsidRPr="002878ED">
        <w:rPr>
          <w:rFonts w:eastAsiaTheme="minorEastAsia"/>
          <w:sz w:val="24"/>
          <w:szCs w:val="24"/>
        </w:rPr>
        <w:t>---------------------------</w:t>
      </w:r>
      <w:r w:rsidR="002878ED" w:rsidRPr="002878ED">
        <w:rPr>
          <w:rFonts w:eastAsiaTheme="minorEastAsia"/>
          <w:sz w:val="24"/>
          <w:szCs w:val="24"/>
        </w:rPr>
        <w:sym w:font="Wingdings" w:char="F0E0"/>
      </w:r>
      <w:r w:rsidR="002878ED" w:rsidRPr="002878ED">
        <w:rPr>
          <w:rFonts w:eastAsiaTheme="minorEastAsia"/>
          <w:sz w:val="24"/>
          <w:szCs w:val="24"/>
        </w:rPr>
        <w:t xml:space="preserve"> (7)</w:t>
      </w:r>
    </w:p>
    <w:p w14:paraId="23E62EB5" w14:textId="7BE27454" w:rsidR="00DF6374" w:rsidRDefault="00DF6374" w:rsidP="00DF6374">
      <w:pPr>
        <w:pStyle w:val="ListParagraph"/>
        <w:numPr>
          <w:ilvl w:val="0"/>
          <w:numId w:val="1"/>
        </w:numPr>
      </w:pPr>
      <w:r>
        <w:t xml:space="preserve">Gross Capital Formation by commodity (c) are allocated </w:t>
      </w:r>
      <w:r w:rsidR="0051076D">
        <w:t>to industry (i)</w:t>
      </w:r>
      <w:r>
        <w:t xml:space="preserve"> in the ratio of the intermediate use by industry </w:t>
      </w:r>
      <w:r w:rsidR="0051076D">
        <w:t xml:space="preserve">(i) </w:t>
      </w:r>
      <w:r>
        <w:t xml:space="preserve">to the total intermediate use </w:t>
      </w:r>
      <w:r w:rsidR="0051076D">
        <w:t>across all industries</w:t>
      </w:r>
    </w:p>
    <w:p w14:paraId="509A94D8" w14:textId="77777777" w:rsidR="00DF6374" w:rsidRDefault="00DF6374" w:rsidP="00DF6374"/>
    <w:p w14:paraId="554CFA0F" w14:textId="701052BC" w:rsidR="00DF6374" w:rsidRPr="002878ED" w:rsidRDefault="00D91082" w:rsidP="00DF6374">
      <w:pPr>
        <w:jc w:val="center"/>
        <w:rPr>
          <w:rFonts w:eastAsiaTheme="minorEastAsia"/>
          <w:sz w:val="24"/>
          <w:szCs w:val="24"/>
        </w:rPr>
      </w:pPr>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ci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c</m:t>
            </m:r>
          </m:sub>
        </m:sSub>
        <m:r>
          <w:rPr>
            <w:rFonts w:ascii="Cambria Math"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ci</m:t>
                </m:r>
              </m:sub>
            </m:sSub>
          </m:num>
          <m:den>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i</m:t>
                </m:r>
              </m:sub>
              <m:sup/>
              <m:e>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ci</m:t>
                    </m:r>
                  </m:sub>
                </m:sSub>
              </m:e>
            </m:nary>
          </m:den>
        </m:f>
      </m:oMath>
      <w:r w:rsidR="002878ED">
        <w:rPr>
          <w:rFonts w:eastAsiaTheme="minorEastAsia"/>
          <w:sz w:val="28"/>
          <w:szCs w:val="28"/>
        </w:rPr>
        <w:t xml:space="preserve">  </w:t>
      </w:r>
      <w:r w:rsidR="002878ED" w:rsidRPr="002878ED">
        <w:rPr>
          <w:rFonts w:eastAsiaTheme="minorEastAsia"/>
          <w:sz w:val="24"/>
          <w:szCs w:val="24"/>
        </w:rPr>
        <w:t>--------------------------------</w:t>
      </w:r>
      <w:r w:rsidR="002878ED" w:rsidRPr="002878ED">
        <w:rPr>
          <w:rFonts w:eastAsiaTheme="minorEastAsia"/>
          <w:sz w:val="24"/>
          <w:szCs w:val="24"/>
        </w:rPr>
        <w:sym w:font="Wingdings" w:char="F0E0"/>
      </w:r>
      <w:r w:rsidR="002878ED" w:rsidRPr="002878ED">
        <w:rPr>
          <w:rFonts w:eastAsiaTheme="minorEastAsia"/>
          <w:sz w:val="24"/>
          <w:szCs w:val="24"/>
        </w:rPr>
        <w:t xml:space="preserve"> (8)</w:t>
      </w:r>
    </w:p>
    <w:p w14:paraId="43F017AB" w14:textId="77EB8629" w:rsidR="00177477" w:rsidRDefault="00177477" w:rsidP="00177477">
      <w:pPr>
        <w:pStyle w:val="ListParagraph"/>
        <w:numPr>
          <w:ilvl w:val="0"/>
          <w:numId w:val="1"/>
        </w:numPr>
      </w:pPr>
      <w:r>
        <w:t xml:space="preserve">Exports of a commodity (c) are allocated to industry (i) in the ratio of its supply from industry (i) to its total supply across all industries. </w:t>
      </w:r>
    </w:p>
    <w:p w14:paraId="6CC8D33C" w14:textId="75C2D096" w:rsidR="00177477" w:rsidRPr="002878ED" w:rsidRDefault="00D91082" w:rsidP="00177477">
      <w:pPr>
        <w:jc w:val="center"/>
        <w:rPr>
          <w:rFonts w:eastAsiaTheme="minorEastAsia"/>
          <w:sz w:val="24"/>
          <w:szCs w:val="24"/>
        </w:rPr>
      </w:pP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ci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c</m:t>
            </m:r>
          </m:sub>
        </m:sSub>
        <m:r>
          <w:rPr>
            <w:rFonts w:ascii="Cambria Math"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ci</m:t>
                </m:r>
              </m:sub>
            </m:sSub>
          </m:num>
          <m:den>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i</m:t>
                </m:r>
              </m:sub>
              <m:sup/>
              <m:e>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ci</m:t>
                    </m:r>
                  </m:sub>
                </m:sSub>
              </m:e>
            </m:nary>
          </m:den>
        </m:f>
      </m:oMath>
      <w:r w:rsidR="002878ED">
        <w:rPr>
          <w:rFonts w:eastAsiaTheme="minorEastAsia"/>
          <w:sz w:val="28"/>
          <w:szCs w:val="28"/>
        </w:rPr>
        <w:t xml:space="preserve"> </w:t>
      </w:r>
      <w:r w:rsidR="002878ED" w:rsidRPr="002878ED">
        <w:rPr>
          <w:rFonts w:eastAsiaTheme="minorEastAsia"/>
          <w:sz w:val="24"/>
          <w:szCs w:val="24"/>
        </w:rPr>
        <w:t>----------------------------------</w:t>
      </w:r>
      <w:r w:rsidR="002878ED" w:rsidRPr="002878ED">
        <w:rPr>
          <w:rFonts w:eastAsiaTheme="minorEastAsia"/>
          <w:sz w:val="24"/>
          <w:szCs w:val="24"/>
        </w:rPr>
        <w:sym w:font="Wingdings" w:char="F0E0"/>
      </w:r>
      <w:r w:rsidR="002878ED" w:rsidRPr="002878ED">
        <w:rPr>
          <w:rFonts w:eastAsiaTheme="minorEastAsia"/>
          <w:sz w:val="24"/>
          <w:szCs w:val="24"/>
        </w:rPr>
        <w:t xml:space="preserve"> (9)</w:t>
      </w:r>
    </w:p>
    <w:p w14:paraId="678EAAAD" w14:textId="77777777" w:rsidR="00C1790D" w:rsidRPr="00DF6374" w:rsidRDefault="00C1790D" w:rsidP="00C1790D">
      <w:pPr>
        <w:rPr>
          <w:rFonts w:eastAsiaTheme="minorEastAsia"/>
          <w:sz w:val="28"/>
          <w:szCs w:val="28"/>
        </w:rPr>
      </w:pPr>
    </w:p>
    <w:p w14:paraId="77C28794" w14:textId="77777777" w:rsidR="000179E9" w:rsidRDefault="000179E9" w:rsidP="00671CC4"/>
    <w:p w14:paraId="0D399D6A" w14:textId="77777777" w:rsidR="000179E9" w:rsidRDefault="000179E9" w:rsidP="00671CC4"/>
    <w:p w14:paraId="7073F983" w14:textId="7CD8336B" w:rsidR="005141B4" w:rsidRPr="00881481" w:rsidRDefault="002878ED" w:rsidP="00671CC4">
      <w:pPr>
        <w:rPr>
          <w:b/>
        </w:rPr>
      </w:pPr>
      <w:r w:rsidRPr="00881481">
        <w:rPr>
          <w:b/>
        </w:rPr>
        <w:t>Excel Worksheets description:</w:t>
      </w:r>
    </w:p>
    <w:p w14:paraId="7275D1F0" w14:textId="77777777" w:rsidR="00881481" w:rsidRDefault="00881481" w:rsidP="00671CC4"/>
    <w:p w14:paraId="1AB8E501" w14:textId="01183996" w:rsidR="00881481" w:rsidRDefault="00881481" w:rsidP="00671CC4">
      <w:r>
        <w:t xml:space="preserve">parameters – In this worksheet we enter the year (2014 to 2016) for which the VAT Gap is needed. </w:t>
      </w:r>
      <w:r w:rsidR="00902CC7">
        <w:t>It includes the GDP Growth factor and a shift factor that helps with the excel model.</w:t>
      </w:r>
    </w:p>
    <w:p w14:paraId="1965DA8B" w14:textId="737DB450" w:rsidR="00902CC7" w:rsidRDefault="00902CC7" w:rsidP="00671CC4"/>
    <w:p w14:paraId="387B5C65" w14:textId="1CCD8A4E" w:rsidR="00902CC7" w:rsidRDefault="00902CC7" w:rsidP="00671CC4">
      <w:r>
        <w:t xml:space="preserve">Key – This shows the Latvian </w:t>
      </w:r>
      <w:r w:rsidR="00F61ECD">
        <w:t xml:space="preserve">to English </w:t>
      </w:r>
      <w:r w:rsidR="00114C3F">
        <w:t xml:space="preserve">translation of the names of the commodities and </w:t>
      </w:r>
      <w:r w:rsidR="002B4613">
        <w:t>Industries.</w:t>
      </w:r>
    </w:p>
    <w:p w14:paraId="2D2525D2" w14:textId="77777777" w:rsidR="00881481" w:rsidRDefault="00881481" w:rsidP="00671CC4"/>
    <w:p w14:paraId="0D331FA9" w14:textId="03173A53" w:rsidR="002878ED" w:rsidRDefault="000179E9" w:rsidP="00671CC4">
      <w:r>
        <w:t>use_2014 – The Use Table for2014</w:t>
      </w:r>
    </w:p>
    <w:p w14:paraId="06C9807E" w14:textId="7F2BC6F2" w:rsidR="000179E9" w:rsidRDefault="000179E9" w:rsidP="00671CC4">
      <w:r>
        <w:t>supply_2014 – The Supply Table for 2014</w:t>
      </w:r>
    </w:p>
    <w:p w14:paraId="4D7C1DF6" w14:textId="7658A3A0" w:rsidR="000179E9" w:rsidRDefault="000179E9" w:rsidP="00671CC4"/>
    <w:p w14:paraId="418A3333" w14:textId="7C0C878A" w:rsidR="000179E9" w:rsidRDefault="000179E9" w:rsidP="00E91C62">
      <w:pPr>
        <w:jc w:val="both"/>
      </w:pPr>
      <w:r>
        <w:t>use</w:t>
      </w:r>
      <w:r w:rsidR="00AE3BD5">
        <w:t xml:space="preserve"> – The Use Table for the current year which is obtained by multiplying the use_2014 sheet by the ratio of the GDP of the current year to the GDP of 2014.</w:t>
      </w:r>
    </w:p>
    <w:p w14:paraId="762D45C8" w14:textId="66F5943A" w:rsidR="001E5EC7" w:rsidRDefault="001E5EC7" w:rsidP="00E91C62">
      <w:pPr>
        <w:jc w:val="both"/>
      </w:pPr>
      <w:r>
        <w:t>supply – The Supply Table for the current year which is obtained by multiplying the supply_2014 sheet by the ratio of the GDP of the current year to the GDP of 2014.</w:t>
      </w:r>
    </w:p>
    <w:p w14:paraId="2F1762B9" w14:textId="77777777" w:rsidR="004536D6" w:rsidRDefault="004536D6" w:rsidP="00E91C62">
      <w:pPr>
        <w:jc w:val="both"/>
        <w:rPr>
          <w:b/>
        </w:rPr>
      </w:pPr>
    </w:p>
    <w:p w14:paraId="39992405" w14:textId="2F3330DE" w:rsidR="001E5EC7" w:rsidRPr="004536D6" w:rsidRDefault="00FA5BEF" w:rsidP="00E91C62">
      <w:pPr>
        <w:jc w:val="both"/>
        <w:rPr>
          <w:b/>
        </w:rPr>
      </w:pPr>
      <w:r w:rsidRPr="004536D6">
        <w:rPr>
          <w:b/>
        </w:rPr>
        <w:t>INPUT</w:t>
      </w:r>
      <w:r w:rsidR="00E91C62" w:rsidRPr="004536D6">
        <w:rPr>
          <w:b/>
        </w:rPr>
        <w:t>S</w:t>
      </w:r>
      <w:r w:rsidRPr="004536D6">
        <w:rPr>
          <w:b/>
        </w:rPr>
        <w:t xml:space="preserve"> PROVIDED </w:t>
      </w:r>
    </w:p>
    <w:p w14:paraId="7427C3E5" w14:textId="3B87BF1A" w:rsidR="00650EEB" w:rsidRDefault="00650EEB" w:rsidP="00E91C62">
      <w:pPr>
        <w:jc w:val="both"/>
      </w:pPr>
      <w:proofErr w:type="spellStart"/>
      <w:r>
        <w:t>effective_tax_rates_table</w:t>
      </w:r>
      <w:proofErr w:type="spellEnd"/>
      <w:r>
        <w:t xml:space="preserve"> – The tax rates by commodity.</w:t>
      </w:r>
      <w:r w:rsidR="00FA5BEF">
        <w:t xml:space="preserve"> The rates are given as an effective rate if each commodity category consists of sub-commodities that are taxed at different rates.</w:t>
      </w:r>
    </w:p>
    <w:p w14:paraId="61BB18D7" w14:textId="0B323E79" w:rsidR="00FA5BEF" w:rsidRDefault="00FA5BEF" w:rsidP="00E91C62">
      <w:pPr>
        <w:jc w:val="both"/>
      </w:pPr>
      <w:proofErr w:type="spellStart"/>
      <w:r>
        <w:t>rc_ratio</w:t>
      </w:r>
      <w:proofErr w:type="spellEnd"/>
      <w:r>
        <w:t xml:space="preserve"> – The ratio by commodity group of the reverse charge that is applied.</w:t>
      </w:r>
      <w:r w:rsidR="006F5045">
        <w:t xml:space="preserve"> </w:t>
      </w:r>
      <w:proofErr w:type="spellStart"/>
      <w:r w:rsidR="006F5045">
        <w:t>rc_ratio</w:t>
      </w:r>
      <w:proofErr w:type="spellEnd"/>
      <w:r w:rsidR="006F5045">
        <w:t xml:space="preserve"> of 0.5 means that half of the commodities in that group falls under the reverse charge scheme whereby in transactions between registered entities, it is the buyer that collects the tax and deposits with the government.</w:t>
      </w:r>
    </w:p>
    <w:p w14:paraId="54F38778" w14:textId="40530758" w:rsidR="00FA5BEF" w:rsidRDefault="00FA5BEF" w:rsidP="00E91C62">
      <w:pPr>
        <w:jc w:val="both"/>
      </w:pPr>
      <w:proofErr w:type="spellStart"/>
      <w:r>
        <w:t>exemption_ratio</w:t>
      </w:r>
      <w:proofErr w:type="spellEnd"/>
      <w:r>
        <w:t xml:space="preserve"> - The ratio by commodity group of the exemption that is applied.</w:t>
      </w:r>
      <w:r w:rsidR="006F5045">
        <w:t xml:space="preserve"> </w:t>
      </w:r>
      <w:proofErr w:type="spellStart"/>
      <w:r w:rsidR="006F5045">
        <w:t>exemption_ratio</w:t>
      </w:r>
      <w:proofErr w:type="spellEnd"/>
      <w:r w:rsidR="006F5045">
        <w:t xml:space="preserve"> of 0.5 means that half of the commodities in that group are exempt.</w:t>
      </w:r>
    </w:p>
    <w:p w14:paraId="4C4D8898" w14:textId="101CEB07" w:rsidR="00C127F9" w:rsidRDefault="00C127F9" w:rsidP="00E91C62">
      <w:pPr>
        <w:jc w:val="both"/>
      </w:pPr>
      <w:proofErr w:type="spellStart"/>
      <w:r>
        <w:t>exempt_supply</w:t>
      </w:r>
      <w:proofErr w:type="spellEnd"/>
      <w:r>
        <w:t xml:space="preserve"> </w:t>
      </w:r>
      <w:r w:rsidR="006941E7">
        <w:t>–</w:t>
      </w:r>
      <w:r>
        <w:t xml:space="preserve"> </w:t>
      </w:r>
      <w:r w:rsidR="006941E7">
        <w:t xml:space="preserve">the </w:t>
      </w:r>
      <w:r w:rsidR="00891C2F">
        <w:t xml:space="preserve">exemption ratio by commodity </w:t>
      </w:r>
      <m:oMath>
        <m:sSub>
          <m:sSubPr>
            <m:ctrlPr>
              <w:rPr>
                <w:rFonts w:ascii="Cambria Math" w:hAnsi="Cambria Math"/>
                <w:i/>
              </w:rPr>
            </m:ctrlPr>
          </m:sSubPr>
          <m:e>
            <m:r>
              <w:rPr>
                <w:rFonts w:ascii="Cambria Math" w:hAnsi="Cambria Math"/>
              </w:rPr>
              <m:t>E</m:t>
            </m:r>
          </m:e>
          <m:sub>
            <m:r>
              <w:rPr>
                <w:rFonts w:ascii="Cambria Math" w:hAnsi="Cambria Math"/>
              </w:rPr>
              <m:t>c</m:t>
            </m:r>
          </m:sub>
        </m:sSub>
      </m:oMath>
      <w:r w:rsidR="00891C2F">
        <w:rPr>
          <w:rFonts w:eastAsiaTheme="minorEastAsia"/>
        </w:rPr>
        <w:t xml:space="preserve"> </w:t>
      </w:r>
      <w:r w:rsidR="00891C2F">
        <w:t xml:space="preserve">is applied to the supply </w:t>
      </w:r>
      <m:oMath>
        <m:sSub>
          <m:sSubPr>
            <m:ctrlPr>
              <w:rPr>
                <w:rFonts w:ascii="Cambria Math" w:hAnsi="Cambria Math"/>
                <w:i/>
              </w:rPr>
            </m:ctrlPr>
          </m:sSubPr>
          <m:e>
            <m:r>
              <w:rPr>
                <w:rFonts w:ascii="Cambria Math" w:hAnsi="Cambria Math"/>
              </w:rPr>
              <m:t>S</m:t>
            </m:r>
          </m:e>
          <m:sub>
            <m:r>
              <w:rPr>
                <w:rFonts w:ascii="Cambria Math" w:hAnsi="Cambria Math"/>
              </w:rPr>
              <m:t>ci</m:t>
            </m:r>
          </m:sub>
        </m:sSub>
      </m:oMath>
      <w:r w:rsidR="00891C2F">
        <w:rPr>
          <w:rFonts w:eastAsiaTheme="minorEastAsia"/>
        </w:rPr>
        <w:t xml:space="preserve"> </w:t>
      </w:r>
      <w:r w:rsidR="00891C2F">
        <w:t>to obtain the exempt supply by commodity and industry.</w:t>
      </w:r>
    </w:p>
    <w:p w14:paraId="5380F38C" w14:textId="03561C77" w:rsidR="00C127F9" w:rsidRDefault="00C127F9" w:rsidP="00E91C62">
      <w:pPr>
        <w:jc w:val="both"/>
      </w:pPr>
      <w:proofErr w:type="spellStart"/>
      <w:r>
        <w:t>exempt_supply_sector_ratio</w:t>
      </w:r>
      <w:proofErr w:type="spellEnd"/>
      <w:r>
        <w:t xml:space="preserve"> </w:t>
      </w:r>
      <w:r w:rsidR="0071039C">
        <w:rPr>
          <w:rFonts w:eastAsiaTheme="minorEastAsia"/>
        </w:rPr>
        <w:t>(</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71039C">
        <w:rPr>
          <w:rFonts w:eastAsiaTheme="minorEastAsia"/>
        </w:rPr>
        <w:t>)</w:t>
      </w:r>
      <w:r w:rsidR="00891C2F">
        <w:rPr>
          <w:rFonts w:eastAsiaTheme="minorEastAsia"/>
        </w:rPr>
        <w:t xml:space="preserve"> </w:t>
      </w:r>
      <w:r w:rsidR="00891C2F">
        <w:t>–</w:t>
      </w:r>
      <w:r>
        <w:t xml:space="preserve"> </w:t>
      </w:r>
      <w:r w:rsidR="00310FB0">
        <w:t>the exempt supply is summed by I</w:t>
      </w:r>
      <w:r w:rsidR="00891C2F">
        <w:t xml:space="preserve">ndustry and the ratio of the exempt supply to the total supply by industry gives the exempt supply </w:t>
      </w:r>
      <w:r w:rsidR="007A3F59">
        <w:t>industry</w:t>
      </w:r>
      <w:r w:rsidR="00891C2F">
        <w:t xml:space="preserve"> ratio.</w:t>
      </w:r>
    </w:p>
    <w:p w14:paraId="3209D888" w14:textId="365C947F" w:rsidR="00891C2F" w:rsidRDefault="0071039C" w:rsidP="00E91C62">
      <w:pPr>
        <w:jc w:val="both"/>
      </w:pPr>
      <w:proofErr w:type="spellStart"/>
      <w:r>
        <w:t>vat_</w:t>
      </w:r>
      <w:r w:rsidR="002233D7">
        <w:t>by_</w:t>
      </w:r>
      <w:r>
        <w:t>reg_ratio</w:t>
      </w:r>
      <w:proofErr w:type="spellEnd"/>
      <w:r>
        <w:t xml:space="preserve"> </w:t>
      </w:r>
      <w:r>
        <w:rPr>
          <w:rFonts w:eastAsiaTheme="minorEastAsia"/>
        </w:rPr>
        <w:t>(</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Pr>
          <w:rFonts w:eastAsiaTheme="minorEastAsia"/>
        </w:rPr>
        <w:t xml:space="preserve">) – the </w:t>
      </w:r>
      <w:proofErr w:type="spellStart"/>
      <w:r>
        <w:t>vat_reg_ratio</w:t>
      </w:r>
      <w:proofErr w:type="spellEnd"/>
      <w:r>
        <w:t xml:space="preserve"> is </w:t>
      </w:r>
      <w:r w:rsidR="00986E80">
        <w:t>estimated</w:t>
      </w:r>
      <w:r>
        <w:t xml:space="preserve"> by dividing the supply of </w:t>
      </w:r>
      <w:r w:rsidR="00986E80">
        <w:t xml:space="preserve">the </w:t>
      </w:r>
      <w:r w:rsidR="00310FB0">
        <w:t>Industry</w:t>
      </w:r>
      <w:r w:rsidR="00986E80">
        <w:t xml:space="preserve"> to the total from the supply use table and the total supply as given in the tax returns.</w:t>
      </w:r>
    </w:p>
    <w:p w14:paraId="160F24E6" w14:textId="4E2C0407" w:rsidR="00B60AB4" w:rsidRDefault="00B60AB4" w:rsidP="00B60AB4">
      <w:pPr>
        <w:jc w:val="both"/>
        <w:rPr>
          <w:rFonts w:eastAsiaTheme="minorEastAsia"/>
        </w:rPr>
      </w:pPr>
      <w:proofErr w:type="spellStart"/>
      <w:r>
        <w:rPr>
          <w:rFonts w:eastAsiaTheme="minorEastAsia"/>
        </w:rPr>
        <w:t>vat_revenue</w:t>
      </w:r>
      <w:proofErr w:type="spellEnd"/>
      <w:r>
        <w:rPr>
          <w:rFonts w:eastAsiaTheme="minorEastAsia"/>
        </w:rPr>
        <w:t xml:space="preserve"> – This worksheet shows the VAT revenue by </w:t>
      </w:r>
      <w:r w:rsidR="00310FB0">
        <w:rPr>
          <w:rFonts w:eastAsiaTheme="minorEastAsia"/>
        </w:rPr>
        <w:t>Industry</w:t>
      </w:r>
      <w:r>
        <w:rPr>
          <w:rFonts w:eastAsiaTheme="minorEastAsia"/>
        </w:rPr>
        <w:t xml:space="preserve"> which is used to calculate the VAT Gap as it represents the performance of the tax administration.</w:t>
      </w:r>
    </w:p>
    <w:p w14:paraId="66C3F137" w14:textId="4B8C0204" w:rsidR="008F0BFF" w:rsidRDefault="008F0BFF" w:rsidP="00E91C62">
      <w:pPr>
        <w:jc w:val="both"/>
      </w:pPr>
    </w:p>
    <w:p w14:paraId="55364292" w14:textId="1DA4C331" w:rsidR="004536D6" w:rsidRDefault="004536D6" w:rsidP="00E91C62">
      <w:pPr>
        <w:jc w:val="both"/>
      </w:pPr>
    </w:p>
    <w:p w14:paraId="54E0F4B5" w14:textId="77777777" w:rsidR="004536D6" w:rsidRDefault="004536D6" w:rsidP="00E91C62">
      <w:pPr>
        <w:jc w:val="both"/>
      </w:pPr>
    </w:p>
    <w:p w14:paraId="6C777026" w14:textId="7722942F" w:rsidR="008F0BFF" w:rsidRPr="004536D6" w:rsidRDefault="0082772A" w:rsidP="00E91C62">
      <w:pPr>
        <w:jc w:val="both"/>
        <w:rPr>
          <w:b/>
        </w:rPr>
      </w:pPr>
      <w:r w:rsidRPr="004536D6">
        <w:rPr>
          <w:b/>
        </w:rPr>
        <w:t>CALCULATED</w:t>
      </w:r>
      <w:r w:rsidR="008F0BFF" w:rsidRPr="004536D6">
        <w:rPr>
          <w:b/>
        </w:rPr>
        <w:t xml:space="preserve"> DATA</w:t>
      </w:r>
    </w:p>
    <w:p w14:paraId="3A5F8ED6" w14:textId="0A705B48" w:rsidR="00891C2F" w:rsidRDefault="000129EF" w:rsidP="00E91C62">
      <w:pPr>
        <w:jc w:val="both"/>
        <w:rPr>
          <w:rFonts w:eastAsiaTheme="minorEastAsia"/>
        </w:rPr>
      </w:pPr>
      <w:proofErr w:type="spellStart"/>
      <w:r>
        <w:t>supply_mat_comm_ratio</w:t>
      </w:r>
      <w:proofErr w:type="spellEnd"/>
      <w:r>
        <w:t xml:space="preserve"> – This is the ratio </w:t>
      </w:r>
      <m:oMath>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ci</m:t>
                </m:r>
              </m:sub>
            </m:sSub>
          </m:num>
          <m:den>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i</m:t>
                </m:r>
              </m:sub>
              <m:sup/>
              <m:e>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ci</m:t>
                    </m:r>
                  </m:sub>
                </m:sSub>
              </m:e>
            </m:nary>
          </m:den>
        </m:f>
      </m:oMath>
      <w:r>
        <w:rPr>
          <w:rFonts w:eastAsiaTheme="minorEastAsia"/>
          <w:sz w:val="28"/>
          <w:szCs w:val="28"/>
        </w:rPr>
        <w:t xml:space="preserve"> </w:t>
      </w:r>
      <w:r w:rsidRPr="000129EF">
        <w:rPr>
          <w:rFonts w:eastAsiaTheme="minorEastAsia"/>
        </w:rPr>
        <w:t>that is</w:t>
      </w:r>
      <w:r>
        <w:rPr>
          <w:rFonts w:eastAsiaTheme="minorEastAsia"/>
        </w:rPr>
        <w:t xml:space="preserve"> calculated.</w:t>
      </w:r>
    </w:p>
    <w:p w14:paraId="34620C9E" w14:textId="32C1B500" w:rsidR="000129EF" w:rsidRDefault="000129EF" w:rsidP="00E91C62">
      <w:pPr>
        <w:jc w:val="both"/>
      </w:pPr>
      <w:proofErr w:type="spellStart"/>
      <w:r>
        <w:rPr>
          <w:rFonts w:eastAsiaTheme="minorEastAsia"/>
        </w:rPr>
        <w:t>use_fin_gcf_comm_ratio</w:t>
      </w:r>
      <w:proofErr w:type="spellEnd"/>
      <w:r>
        <w:rPr>
          <w:rFonts w:eastAsiaTheme="minorEastAsia"/>
        </w:rPr>
        <w:t xml:space="preserve"> – This worksheet calculates the ratios, </w:t>
      </w:r>
      <m:oMath>
        <m:f>
          <m:fPr>
            <m:ctrlPr>
              <w:rPr>
                <w:rFonts w:ascii="Cambria Math" w:eastAsiaTheme="minorEastAsia" w:hAnsi="Cambria Math"/>
                <w:i/>
                <w:sz w:val="28"/>
                <w:szCs w:val="28"/>
              </w:rPr>
            </m:ctrlPr>
          </m:fPr>
          <m:num>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i</m:t>
                </m:r>
              </m:sub>
              <m:sup/>
              <m:e>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ci</m:t>
                    </m:r>
                  </m:sub>
                </m:sSub>
              </m:e>
            </m:nary>
          </m:num>
          <m:den>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i</m:t>
                </m:r>
              </m:sub>
              <m:sup/>
              <m:e>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ci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c</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c</m:t>
                    </m:r>
                  </m:sub>
                </m:sSub>
              </m:e>
            </m:nary>
          </m:den>
        </m:f>
      </m:oMath>
      <w:r>
        <w:rPr>
          <w:rFonts w:eastAsiaTheme="minorEastAsia"/>
          <w:sz w:val="28"/>
          <w:szCs w:val="28"/>
        </w:rPr>
        <w:t xml:space="preserve">     </w:t>
      </w:r>
      <m:oMath>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c</m:t>
                </m:r>
              </m:sub>
            </m:sSub>
          </m:num>
          <m:den>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i</m:t>
                </m:r>
              </m:sub>
              <m:sup/>
              <m:e>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ci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c</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c</m:t>
                    </m:r>
                  </m:sub>
                </m:sSub>
              </m:e>
            </m:nary>
          </m:den>
        </m:f>
      </m:oMath>
      <w:r>
        <w:rPr>
          <w:rFonts w:eastAsiaTheme="minorEastAsia"/>
          <w:sz w:val="28"/>
          <w:szCs w:val="28"/>
        </w:rPr>
        <w:t xml:space="preserve"> </w:t>
      </w:r>
      <w:r>
        <w:rPr>
          <w:rFonts w:eastAsiaTheme="minorEastAsia"/>
        </w:rPr>
        <w:t xml:space="preserve">      </w:t>
      </w:r>
      <m:oMath>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c</m:t>
                </m:r>
              </m:sub>
            </m:sSub>
          </m:num>
          <m:den>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i</m:t>
                </m:r>
              </m:sub>
              <m:sup/>
              <m:e>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ci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c</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c</m:t>
                    </m:r>
                  </m:sub>
                </m:sSub>
              </m:e>
            </m:nary>
          </m:den>
        </m:f>
      </m:oMath>
      <w:r>
        <w:t xml:space="preserve"> .</w:t>
      </w:r>
    </w:p>
    <w:p w14:paraId="4C499332" w14:textId="6B71E8F3" w:rsidR="000129EF" w:rsidRDefault="000129EF" w:rsidP="00E91C62">
      <w:pPr>
        <w:jc w:val="both"/>
      </w:pPr>
      <w:proofErr w:type="spellStart"/>
      <w:r>
        <w:t>inter_fin_gcf_tax_alloc</w:t>
      </w:r>
      <w:proofErr w:type="spellEnd"/>
      <w:r>
        <w:t xml:space="preserve"> – This worksheet allocates the tax </w:t>
      </w:r>
      <w:r w:rsidR="00EB3CA3">
        <w:t xml:space="preserve">shown in the supply use table </w:t>
      </w:r>
      <w:r>
        <w:t xml:space="preserve">on the proportion of </w:t>
      </w:r>
      <w:proofErr w:type="spellStart"/>
      <w:r w:rsidR="002B31D9">
        <w:rPr>
          <w:rFonts w:eastAsiaTheme="minorEastAsia"/>
        </w:rPr>
        <w:t>use_fin_gcf_comm_ratio</w:t>
      </w:r>
      <w:proofErr w:type="spellEnd"/>
      <w:r w:rsidR="002B31D9">
        <w:t>.</w:t>
      </w:r>
      <w:r>
        <w:t xml:space="preserve"> </w:t>
      </w:r>
    </w:p>
    <w:p w14:paraId="6036CA39" w14:textId="0F39D301" w:rsidR="00C127F9" w:rsidRPr="00EB3CA3" w:rsidRDefault="00EB3CA3" w:rsidP="00E91C62">
      <w:pPr>
        <w:jc w:val="both"/>
      </w:pPr>
      <w:proofErr w:type="spellStart"/>
      <w:r>
        <w:t>inter_use_mat_comm_ratio</w:t>
      </w:r>
      <w:proofErr w:type="spellEnd"/>
      <w:r>
        <w:t xml:space="preserve"> – This worksheet calculates the ratio </w:t>
      </w:r>
      <m:oMath>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ci</m:t>
                </m:r>
              </m:sub>
            </m:sSub>
          </m:num>
          <m:den>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i</m:t>
                </m:r>
              </m:sub>
              <m:sup/>
              <m:e>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ci</m:t>
                    </m:r>
                  </m:sub>
                </m:sSub>
              </m:e>
            </m:nary>
          </m:den>
        </m:f>
      </m:oMath>
      <w:r>
        <w:rPr>
          <w:rFonts w:eastAsiaTheme="minorEastAsia"/>
          <w:sz w:val="28"/>
          <w:szCs w:val="28"/>
        </w:rPr>
        <w:t xml:space="preserve"> </w:t>
      </w:r>
      <w:r w:rsidRPr="00EB3CA3">
        <w:rPr>
          <w:rFonts w:eastAsiaTheme="minorEastAsia"/>
        </w:rPr>
        <w:t>.</w:t>
      </w:r>
      <w:r>
        <w:rPr>
          <w:rFonts w:eastAsiaTheme="minorEastAsia"/>
          <w:sz w:val="28"/>
          <w:szCs w:val="28"/>
        </w:rPr>
        <w:t xml:space="preserve"> </w:t>
      </w:r>
    </w:p>
    <w:p w14:paraId="0A1DBADF" w14:textId="3502381F" w:rsidR="000179E9" w:rsidRDefault="00EB3CA3" w:rsidP="00E91C62">
      <w:pPr>
        <w:jc w:val="both"/>
      </w:pPr>
      <w:proofErr w:type="spellStart"/>
      <w:r>
        <w:t>use_fin_gcf_tax_excl</w:t>
      </w:r>
      <w:proofErr w:type="spellEnd"/>
      <w:r>
        <w:t xml:space="preserve"> – </w:t>
      </w:r>
      <w:r w:rsidR="00693F67">
        <w:t xml:space="preserve">The use table is reduced by the </w:t>
      </w:r>
      <w:proofErr w:type="spellStart"/>
      <w:r w:rsidR="00693F67">
        <w:t>inter_fin_gcf_tax_alloc</w:t>
      </w:r>
      <w:proofErr w:type="spellEnd"/>
      <w:r w:rsidR="00693F67">
        <w:t xml:space="preserve"> to get the tax exclusive use table.</w:t>
      </w:r>
    </w:p>
    <w:p w14:paraId="312FC951" w14:textId="4D8CDA15" w:rsidR="00693F67" w:rsidRDefault="00693F67" w:rsidP="00671CC4">
      <w:proofErr w:type="spellStart"/>
      <w:r>
        <w:t>exports_alloc</w:t>
      </w:r>
      <w:proofErr w:type="spellEnd"/>
      <w:r>
        <w:t xml:space="preserve"> – This worksheet calculates equation (9).</w:t>
      </w:r>
    </w:p>
    <w:p w14:paraId="031EC4F9" w14:textId="1FAEDC43" w:rsidR="00D41EE3" w:rsidRDefault="00D41EE3" w:rsidP="00D41EE3">
      <w:proofErr w:type="spellStart"/>
      <w:r>
        <w:t>gcf_alloc</w:t>
      </w:r>
      <w:proofErr w:type="spellEnd"/>
      <w:r>
        <w:t xml:space="preserve"> – This worksheet calculates equation (8).</w:t>
      </w:r>
    </w:p>
    <w:p w14:paraId="3E19D353" w14:textId="1244C3D2" w:rsidR="00693F67" w:rsidRDefault="00693F67" w:rsidP="00671CC4"/>
    <w:p w14:paraId="7318FBB8" w14:textId="534BF22D" w:rsidR="00D41EE3" w:rsidRDefault="0059534C" w:rsidP="00E91C62">
      <w:pPr>
        <w:jc w:val="both"/>
      </w:pPr>
      <w:bookmarkStart w:id="0" w:name="_Hlk525677273"/>
      <w:proofErr w:type="spellStart"/>
      <w:r>
        <w:t>domestic_output</w:t>
      </w:r>
      <w:proofErr w:type="spellEnd"/>
      <w:r>
        <w:t xml:space="preserve"> </w:t>
      </w:r>
      <w:bookmarkEnd w:id="0"/>
      <w:r>
        <w:t>– This worksheet calculates</w:t>
      </w:r>
      <w:r w:rsidR="00E22D5D">
        <w:t xml:space="preserve"> the supplies to the domestic economy as shown in</w:t>
      </w:r>
      <w:r>
        <w:t xml:space="preserve"> (4) by subtracting the </w:t>
      </w:r>
      <w:r w:rsidR="003B5568">
        <w:t xml:space="preserve">domestic supplies (by industry as well as commodity) shown in the </w:t>
      </w:r>
      <w:r>
        <w:t xml:space="preserve">supply use table with exports </w:t>
      </w:r>
      <w:r w:rsidR="003B5568">
        <w:t xml:space="preserve">(allocated to industry as well as commodity) </w:t>
      </w:r>
      <w:r>
        <w:t xml:space="preserve">as calculated by </w:t>
      </w:r>
      <w:proofErr w:type="spellStart"/>
      <w:r>
        <w:t>exports_alloc</w:t>
      </w:r>
      <w:proofErr w:type="spellEnd"/>
      <w:r>
        <w:t xml:space="preserve">.  </w:t>
      </w:r>
    </w:p>
    <w:p w14:paraId="4DB725AD" w14:textId="77777777" w:rsidR="00695C76" w:rsidRDefault="00695C76" w:rsidP="00671CC4"/>
    <w:p w14:paraId="15D022F1" w14:textId="71F6DDB7" w:rsidR="00255BE5" w:rsidRDefault="00695C76" w:rsidP="00F5269A">
      <w:pPr>
        <w:jc w:val="both"/>
      </w:pPr>
      <w:proofErr w:type="spellStart"/>
      <w:r>
        <w:t>dom_output_pos</w:t>
      </w:r>
      <w:proofErr w:type="spellEnd"/>
      <w:r>
        <w:t xml:space="preserve"> – In the case of some commodities, the domestic output is less than exports. This means that the exports are supplied by imports in the form of </w:t>
      </w:r>
      <w:r w:rsidRPr="00695C76">
        <w:rPr>
          <w:b/>
        </w:rPr>
        <w:t>re-exports</w:t>
      </w:r>
      <w:r>
        <w:t xml:space="preserve">. </w:t>
      </w:r>
      <w:r w:rsidR="001C6DBB">
        <w:t>This worksheet only includes the supplies that are positive, i.e. those supplies by the domestic producers. Zero for a (commodity, industry) indicates that all the supplies for that commodity by that industry is directed towards exports.</w:t>
      </w:r>
      <w:r w:rsidR="007006CB">
        <w:t xml:space="preserve"> This is illustrated in the figure</w:t>
      </w:r>
      <w:r w:rsidR="002B557D">
        <w:t>-1</w:t>
      </w:r>
      <w:r w:rsidR="007006CB">
        <w:t xml:space="preserve"> below. As the exports for the commodity (500) is greater than domestic production</w:t>
      </w:r>
      <w:r w:rsidR="00255BE5">
        <w:t xml:space="preserve"> </w:t>
      </w:r>
      <w:r w:rsidR="007006CB">
        <w:t xml:space="preserve">(200), this implies that the exports </w:t>
      </w:r>
      <w:proofErr w:type="gramStart"/>
      <w:r w:rsidR="007006CB">
        <w:t>have to</w:t>
      </w:r>
      <w:proofErr w:type="gramEnd"/>
      <w:r w:rsidR="007006CB">
        <w:t xml:space="preserve"> be supplied by the only other source available which is imports. Hence 300 of imports that are re-exported would make up for the difference. It may be possible that the </w:t>
      </w:r>
      <w:r w:rsidR="002B557D">
        <w:t>re-exports are higher and that some domestic supplies are made by domestic producers (Figure-2). This can only be inferred when additional data is made available.</w:t>
      </w:r>
    </w:p>
    <w:p w14:paraId="26A4AA85" w14:textId="162E7FAB" w:rsidR="00D91082" w:rsidRDefault="00D91082" w:rsidP="00F5269A">
      <w:pPr>
        <w:jc w:val="both"/>
      </w:pPr>
    </w:p>
    <w:p w14:paraId="10E48450" w14:textId="29B4A597" w:rsidR="00D91082" w:rsidRDefault="00D91082" w:rsidP="00F5269A">
      <w:pPr>
        <w:jc w:val="both"/>
      </w:pPr>
    </w:p>
    <w:p w14:paraId="124151FF" w14:textId="6EF369B1" w:rsidR="00D91082" w:rsidRDefault="00D91082" w:rsidP="00F5269A">
      <w:pPr>
        <w:jc w:val="both"/>
      </w:pPr>
    </w:p>
    <w:p w14:paraId="0B2AA523" w14:textId="7E0DF0AD" w:rsidR="00D91082" w:rsidRDefault="00D91082" w:rsidP="00F5269A">
      <w:pPr>
        <w:jc w:val="both"/>
      </w:pPr>
    </w:p>
    <w:p w14:paraId="77D70931" w14:textId="77777777" w:rsidR="00D91082" w:rsidRDefault="00D91082" w:rsidP="00F5269A">
      <w:pPr>
        <w:jc w:val="both"/>
      </w:pPr>
    </w:p>
    <w:p w14:paraId="64E3DFBA" w14:textId="5DB31EB1" w:rsidR="00255BE5" w:rsidRPr="007006CB" w:rsidRDefault="007006CB" w:rsidP="007006CB">
      <w:pPr>
        <w:jc w:val="center"/>
        <w:rPr>
          <w:b/>
        </w:rPr>
      </w:pPr>
      <w:r>
        <w:rPr>
          <w:b/>
        </w:rPr>
        <w:t xml:space="preserve">Fig-1: </w:t>
      </w:r>
      <w:r w:rsidRPr="007006CB">
        <w:rPr>
          <w:b/>
        </w:rPr>
        <w:t>Example</w:t>
      </w:r>
      <w:r>
        <w:rPr>
          <w:b/>
        </w:rPr>
        <w:t xml:space="preserve"> -</w:t>
      </w:r>
      <w:r w:rsidR="00255BE5" w:rsidRPr="007006CB">
        <w:rPr>
          <w:b/>
        </w:rPr>
        <w:t xml:space="preserve"> </w:t>
      </w:r>
      <w:r w:rsidRPr="007006CB">
        <w:rPr>
          <w:b/>
        </w:rPr>
        <w:t>Model Assumption for re-exports</w:t>
      </w:r>
    </w:p>
    <w:tbl>
      <w:tblPr>
        <w:tblStyle w:val="TableGrid"/>
        <w:tblW w:w="0" w:type="auto"/>
        <w:tblLook w:val="04A0" w:firstRow="1" w:lastRow="0" w:firstColumn="1" w:lastColumn="0" w:noHBand="0" w:noVBand="1"/>
      </w:tblPr>
      <w:tblGrid>
        <w:gridCol w:w="9350"/>
      </w:tblGrid>
      <w:tr w:rsidR="007006CB" w14:paraId="2FC6C124" w14:textId="77777777" w:rsidTr="007006CB">
        <w:tc>
          <w:tcPr>
            <w:tcW w:w="9350" w:type="dxa"/>
          </w:tcPr>
          <w:p w14:paraId="3A295538" w14:textId="299DB798" w:rsidR="007006CB" w:rsidRDefault="007006CB" w:rsidP="00671CC4">
            <w:r>
              <w:rPr>
                <w:noProof/>
              </w:rPr>
              <mc:AlternateContent>
                <mc:Choice Requires="wpg">
                  <w:drawing>
                    <wp:anchor distT="0" distB="0" distL="114300" distR="114300" simplePos="0" relativeHeight="251669504" behindDoc="0" locked="0" layoutInCell="1" allowOverlap="1" wp14:anchorId="3CDF58B8" wp14:editId="5458D429">
                      <wp:simplePos x="0" y="0"/>
                      <wp:positionH relativeFrom="column">
                        <wp:posOffset>286385</wp:posOffset>
                      </wp:positionH>
                      <wp:positionV relativeFrom="paragraph">
                        <wp:posOffset>51435</wp:posOffset>
                      </wp:positionV>
                      <wp:extent cx="5097780" cy="1516380"/>
                      <wp:effectExtent l="0" t="0" r="26670" b="26670"/>
                      <wp:wrapNone/>
                      <wp:docPr id="20" name="Group 20"/>
                      <wp:cNvGraphicFramePr/>
                      <a:graphic xmlns:a="http://schemas.openxmlformats.org/drawingml/2006/main">
                        <a:graphicData uri="http://schemas.microsoft.com/office/word/2010/wordprocessingGroup">
                          <wpg:wgp>
                            <wpg:cNvGrpSpPr/>
                            <wpg:grpSpPr>
                              <a:xfrm>
                                <a:off x="0" y="0"/>
                                <a:ext cx="5097780" cy="1516380"/>
                                <a:chOff x="0" y="0"/>
                                <a:chExt cx="5097780" cy="1516380"/>
                              </a:xfrm>
                            </wpg:grpSpPr>
                            <wps:wsp>
                              <wps:cNvPr id="2" name="Text Box 2"/>
                              <wps:cNvSpPr txBox="1"/>
                              <wps:spPr>
                                <a:xfrm>
                                  <a:off x="7620" y="0"/>
                                  <a:ext cx="1463040" cy="495300"/>
                                </a:xfrm>
                                <a:prstGeom prst="rect">
                                  <a:avLst/>
                                </a:prstGeom>
                                <a:solidFill>
                                  <a:schemeClr val="lt1"/>
                                </a:solidFill>
                                <a:ln w="6350">
                                  <a:solidFill>
                                    <a:schemeClr val="tx1"/>
                                  </a:solidFill>
                                </a:ln>
                              </wps:spPr>
                              <wps:txbx>
                                <w:txbxContent>
                                  <w:p w14:paraId="36D6D419" w14:textId="02937AD7" w:rsidR="00D91082" w:rsidRDefault="00D91082" w:rsidP="00E9291C">
                                    <w:pPr>
                                      <w:jc w:val="center"/>
                                    </w:pPr>
                                    <w:r>
                                      <w:t>Supply from Domestic Sources = 200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3627120" y="0"/>
                                  <a:ext cx="1470660" cy="495300"/>
                                </a:xfrm>
                                <a:prstGeom prst="rect">
                                  <a:avLst/>
                                </a:prstGeom>
                                <a:solidFill>
                                  <a:schemeClr val="lt1"/>
                                </a:solidFill>
                                <a:ln w="6350">
                                  <a:solidFill>
                                    <a:schemeClr val="tx1"/>
                                  </a:solidFill>
                                </a:ln>
                              </wps:spPr>
                              <wps:txbx>
                                <w:txbxContent>
                                  <w:p w14:paraId="4FE3F8A6" w14:textId="5128C688" w:rsidR="00D91082" w:rsidRDefault="00D91082" w:rsidP="00E9291C">
                                    <w:pPr>
                                      <w:jc w:val="center"/>
                                    </w:pPr>
                                    <w:r>
                                      <w:t>Imports for re-export = 300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1996440" y="678180"/>
                                  <a:ext cx="1104900" cy="495300"/>
                                </a:xfrm>
                                <a:prstGeom prst="rect">
                                  <a:avLst/>
                                </a:prstGeom>
                                <a:solidFill>
                                  <a:schemeClr val="lt1"/>
                                </a:solidFill>
                                <a:ln w="6350">
                                  <a:solidFill>
                                    <a:schemeClr val="tx1"/>
                                  </a:solidFill>
                                </a:ln>
                              </wps:spPr>
                              <wps:txbx>
                                <w:txbxContent>
                                  <w:p w14:paraId="443B8FFC" w14:textId="42E288D1" w:rsidR="00D91082" w:rsidRDefault="00D91082" w:rsidP="00E9291C">
                                    <w:pPr>
                                      <w:jc w:val="center"/>
                                    </w:pPr>
                                    <w:r>
                                      <w:t>Exports = 500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Straight Arrow Connector 5"/>
                              <wps:cNvCnPr/>
                              <wps:spPr>
                                <a:xfrm>
                                  <a:off x="1470660" y="213360"/>
                                  <a:ext cx="108966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flipH="1">
                                  <a:off x="2514600" y="205740"/>
                                  <a:ext cx="111252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a:off x="2529840" y="228600"/>
                                  <a:ext cx="7620" cy="4724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723900" y="502920"/>
                                  <a:ext cx="7620" cy="5181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Text Box 11"/>
                              <wps:cNvSpPr txBox="1"/>
                              <wps:spPr>
                                <a:xfrm>
                                  <a:off x="0" y="1021080"/>
                                  <a:ext cx="1463040" cy="495300"/>
                                </a:xfrm>
                                <a:prstGeom prst="rect">
                                  <a:avLst/>
                                </a:prstGeom>
                                <a:solidFill>
                                  <a:schemeClr val="lt1"/>
                                </a:solidFill>
                                <a:ln w="6350">
                                  <a:solidFill>
                                    <a:schemeClr val="tx1"/>
                                  </a:solidFill>
                                </a:ln>
                              </wps:spPr>
                              <wps:txbx>
                                <w:txbxContent>
                                  <w:p w14:paraId="445FFD30" w14:textId="70B67237" w:rsidR="00D91082" w:rsidRDefault="00D91082" w:rsidP="008D6CCD">
                                    <w:pPr>
                                      <w:jc w:val="center"/>
                                    </w:pPr>
                                    <w:r>
                                      <w:t>Supply to Domestic Economy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CDF58B8" id="Group 20" o:spid="_x0000_s1026" style="position:absolute;margin-left:22.55pt;margin-top:4.05pt;width:401.4pt;height:119.4pt;z-index:251669504" coordsize="50977,15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">
                      <v:shapetype id="_x0000_t202" coordsize="21600,21600" o:spt="202" path="m,l,21600r21600,l21600,xe">
                        <v:stroke joinstyle="miter"/>
                        <v:path gradientshapeok="t" o:connecttype="rect"/>
                      </v:shapetype>
                      <v:shape id="Text Box 2" o:spid="_x0000_s1027" type="#_x0000_t202" style="position:absolute;left:76;width:14630;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" fillcolor="white [3201]" strokecolor="black [3213]" strokeweight=".5pt">
                        <v:textbox>
                          <w:txbxContent>
                            <w:p w14:paraId="36D6D419" w14:textId="02937AD7" w:rsidR="00D91082" w:rsidRDefault="00D91082" w:rsidP="00E9291C">
                              <w:pPr>
                                <w:jc w:val="center"/>
                              </w:pPr>
                              <w:r>
                                <w:t>Supply from Domestic Sources = 200</w:t>
                              </w:r>
                            </w:p>
                          </w:txbxContent>
                        </v:textbox>
                      </v:shape>
                      <v:shape id="Text Box 3" o:spid="_x0000_s1028" type="#_x0000_t202" style="position:absolute;left:36271;width:14706;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" fillcolor="white [3201]" strokecolor="black [3213]" strokeweight=".5pt">
                        <v:textbox>
                          <w:txbxContent>
                            <w:p w14:paraId="4FE3F8A6" w14:textId="5128C688" w:rsidR="00D91082" w:rsidRDefault="00D91082" w:rsidP="00E9291C">
                              <w:pPr>
                                <w:jc w:val="center"/>
                              </w:pPr>
                              <w:r>
                                <w:t>Imports for re-export = 300</w:t>
                              </w:r>
                            </w:p>
                          </w:txbxContent>
                        </v:textbox>
                      </v:shape>
                      <v:shape id="Text Box 4" o:spid="_x0000_s1029" type="#_x0000_t202" style="position:absolute;left:19964;top:6781;width:11049;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" fillcolor="white [3201]" strokecolor="black [3213]" strokeweight=".5pt">
                        <v:textbox>
                          <w:txbxContent>
                            <w:p w14:paraId="443B8FFC" w14:textId="42E288D1" w:rsidR="00D91082" w:rsidRDefault="00D91082" w:rsidP="00E9291C">
                              <w:pPr>
                                <w:jc w:val="center"/>
                              </w:pPr>
                              <w:r>
                                <w:t>Exports = 500</w:t>
                              </w:r>
                            </w:p>
                          </w:txbxContent>
                        </v:textbox>
                      </v:shape>
                      <v:shapetype id="_x0000_t32" coordsize="21600,21600" o:spt="32" o:oned="t" path="m,l21600,21600e" filled="f">
                        <v:path arrowok="t" fillok="f" o:connecttype="none"/>
                        <o:lock v:ext="edit" shapetype="t"/>
                      </v:shapetype>
                      <v:shape id="Straight Arrow Connector 5" o:spid="_x0000_s1030" type="#_x0000_t32" style="position:absolute;left:14706;top:2133;width:108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" strokecolor="black [3213]" strokeweight=".5pt">
                        <v:stroke endarrow="block" joinstyle="miter"/>
                      </v:shape>
                      <v:shape id="Straight Arrow Connector 8" o:spid="_x0000_s1031" type="#_x0000_t32" style="position:absolute;left:25146;top:2057;width:11125;height: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" strokecolor="black [3213]" strokeweight=".5pt">
                        <v:stroke endarrow="block" joinstyle="miter"/>
                      </v:shape>
                      <v:shape id="Straight Arrow Connector 9" o:spid="_x0000_s1032" type="#_x0000_t32" style="position:absolute;left:25298;top:2286;width:76;height:47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" strokecolor="black [3213]" strokeweight=".5pt">
                        <v:stroke endarrow="block" joinstyle="miter"/>
                      </v:shape>
                      <v:shape id="Straight Arrow Connector 10" o:spid="_x0000_s1033" type="#_x0000_t32" style="position:absolute;left:7239;top:5029;width:76;height:51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" strokecolor="black [3213]" strokeweight=".5pt">
                        <v:stroke endarrow="block" joinstyle="miter"/>
                      </v:shape>
                      <v:shape id="Text Box 11" o:spid="_x0000_s1034" type="#_x0000_t202" style="position:absolute;top:10210;width:14630;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" fillcolor="white [3201]" strokecolor="black [3213]" strokeweight=".5pt">
                        <v:textbox>
                          <w:txbxContent>
                            <w:p w14:paraId="445FFD30" w14:textId="70B67237" w:rsidR="00D91082" w:rsidRDefault="00D91082" w:rsidP="008D6CCD">
                              <w:pPr>
                                <w:jc w:val="center"/>
                              </w:pPr>
                              <w:r>
                                <w:t>Supply to Domestic Economy = 0</w:t>
                              </w:r>
                            </w:p>
                          </w:txbxContent>
                        </v:textbox>
                      </v:shape>
                    </v:group>
                  </w:pict>
                </mc:Fallback>
              </mc:AlternateContent>
            </w:r>
          </w:p>
          <w:p w14:paraId="3026176A" w14:textId="50CDC7FA" w:rsidR="007006CB" w:rsidRDefault="007006CB" w:rsidP="00671CC4"/>
          <w:p w14:paraId="4C4D3A69" w14:textId="333F1C2D" w:rsidR="007006CB" w:rsidRDefault="007006CB" w:rsidP="00671CC4"/>
          <w:p w14:paraId="67A283A3" w14:textId="0E22C1B7" w:rsidR="007006CB" w:rsidRDefault="007006CB" w:rsidP="00671CC4"/>
          <w:p w14:paraId="17E0A056" w14:textId="7F9C6527" w:rsidR="007006CB" w:rsidRDefault="007006CB" w:rsidP="00671CC4"/>
          <w:p w14:paraId="37324BA0" w14:textId="5E329E8F" w:rsidR="007006CB" w:rsidRDefault="007006CB" w:rsidP="00671CC4"/>
          <w:p w14:paraId="5B9B0115" w14:textId="4A2CF685" w:rsidR="007006CB" w:rsidRDefault="007006CB" w:rsidP="00671CC4"/>
          <w:p w14:paraId="6D6F7FC9" w14:textId="745C35E6" w:rsidR="007006CB" w:rsidRDefault="007006CB" w:rsidP="00671CC4"/>
          <w:p w14:paraId="5DA7820A" w14:textId="5B46A00D" w:rsidR="007006CB" w:rsidRDefault="007006CB" w:rsidP="00671CC4"/>
          <w:p w14:paraId="41890073" w14:textId="178E9994" w:rsidR="007006CB" w:rsidRDefault="007006CB" w:rsidP="00671CC4"/>
          <w:p w14:paraId="5AC76DA9" w14:textId="74E08292" w:rsidR="007006CB" w:rsidRDefault="007006CB" w:rsidP="00671CC4"/>
        </w:tc>
      </w:tr>
    </w:tbl>
    <w:p w14:paraId="3AA98992" w14:textId="77777777" w:rsidR="00491B58" w:rsidRDefault="00491B58" w:rsidP="00671CC4"/>
    <w:p w14:paraId="3CC3D27A" w14:textId="6228D1D7" w:rsidR="007006CB" w:rsidRPr="007006CB" w:rsidRDefault="007006CB" w:rsidP="007006CB">
      <w:pPr>
        <w:jc w:val="center"/>
        <w:rPr>
          <w:b/>
        </w:rPr>
      </w:pPr>
      <w:r>
        <w:rPr>
          <w:b/>
        </w:rPr>
        <w:t xml:space="preserve">Fig-2: </w:t>
      </w:r>
      <w:r w:rsidRPr="007006CB">
        <w:rPr>
          <w:b/>
        </w:rPr>
        <w:t xml:space="preserve">Example – </w:t>
      </w:r>
      <w:r>
        <w:rPr>
          <w:b/>
        </w:rPr>
        <w:t>Alternative possible</w:t>
      </w:r>
      <w:r w:rsidRPr="007006CB">
        <w:rPr>
          <w:b/>
        </w:rPr>
        <w:t xml:space="preserve"> Assumption for re-exports</w:t>
      </w:r>
    </w:p>
    <w:tbl>
      <w:tblPr>
        <w:tblStyle w:val="TableGrid"/>
        <w:tblW w:w="0" w:type="auto"/>
        <w:tblLook w:val="04A0" w:firstRow="1" w:lastRow="0" w:firstColumn="1" w:lastColumn="0" w:noHBand="0" w:noVBand="1"/>
      </w:tblPr>
      <w:tblGrid>
        <w:gridCol w:w="9350"/>
      </w:tblGrid>
      <w:tr w:rsidR="007006CB" w14:paraId="4E9C4B84" w14:textId="77777777" w:rsidTr="00B571EF">
        <w:tc>
          <w:tcPr>
            <w:tcW w:w="9350" w:type="dxa"/>
          </w:tcPr>
          <w:p w14:paraId="40861D79" w14:textId="77777777" w:rsidR="007006CB" w:rsidRDefault="007006CB" w:rsidP="00B571EF">
            <w:r>
              <w:rPr>
                <w:noProof/>
              </w:rPr>
              <mc:AlternateContent>
                <mc:Choice Requires="wpg">
                  <w:drawing>
                    <wp:anchor distT="0" distB="0" distL="114300" distR="114300" simplePos="0" relativeHeight="251680768" behindDoc="0" locked="0" layoutInCell="1" allowOverlap="1" wp14:anchorId="5D09D7A6" wp14:editId="5DA2ED32">
                      <wp:simplePos x="0" y="0"/>
                      <wp:positionH relativeFrom="column">
                        <wp:posOffset>286385</wp:posOffset>
                      </wp:positionH>
                      <wp:positionV relativeFrom="paragraph">
                        <wp:posOffset>51435</wp:posOffset>
                      </wp:positionV>
                      <wp:extent cx="5097780" cy="1516380"/>
                      <wp:effectExtent l="0" t="0" r="26670" b="26670"/>
                      <wp:wrapNone/>
                      <wp:docPr id="29" name="Group 29"/>
                      <wp:cNvGraphicFramePr/>
                      <a:graphic xmlns:a="http://schemas.openxmlformats.org/drawingml/2006/main">
                        <a:graphicData uri="http://schemas.microsoft.com/office/word/2010/wordprocessingGroup">
                          <wpg:wgp>
                            <wpg:cNvGrpSpPr/>
                            <wpg:grpSpPr>
                              <a:xfrm>
                                <a:off x="0" y="0"/>
                                <a:ext cx="5097780" cy="1516380"/>
                                <a:chOff x="0" y="0"/>
                                <a:chExt cx="5097780" cy="1516380"/>
                              </a:xfrm>
                            </wpg:grpSpPr>
                            <wps:wsp>
                              <wps:cNvPr id="30" name="Text Box 30"/>
                              <wps:cNvSpPr txBox="1"/>
                              <wps:spPr>
                                <a:xfrm>
                                  <a:off x="7620" y="0"/>
                                  <a:ext cx="1463040" cy="495300"/>
                                </a:xfrm>
                                <a:prstGeom prst="rect">
                                  <a:avLst/>
                                </a:prstGeom>
                                <a:solidFill>
                                  <a:schemeClr val="lt1"/>
                                </a:solidFill>
                                <a:ln w="6350">
                                  <a:solidFill>
                                    <a:schemeClr val="tx1"/>
                                  </a:solidFill>
                                </a:ln>
                              </wps:spPr>
                              <wps:txbx>
                                <w:txbxContent>
                                  <w:p w14:paraId="02EF83CC" w14:textId="77777777" w:rsidR="00D91082" w:rsidRDefault="00D91082" w:rsidP="007006CB">
                                    <w:pPr>
                                      <w:jc w:val="center"/>
                                    </w:pPr>
                                    <w:r>
                                      <w:t>Supply from Domestic Sources = 200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3627120" y="0"/>
                                  <a:ext cx="1470660" cy="495300"/>
                                </a:xfrm>
                                <a:prstGeom prst="rect">
                                  <a:avLst/>
                                </a:prstGeom>
                                <a:solidFill>
                                  <a:schemeClr val="lt1"/>
                                </a:solidFill>
                                <a:ln w="6350">
                                  <a:solidFill>
                                    <a:schemeClr val="tx1"/>
                                  </a:solidFill>
                                </a:ln>
                              </wps:spPr>
                              <wps:txbx>
                                <w:txbxContent>
                                  <w:p w14:paraId="399FEE32" w14:textId="77777777" w:rsidR="00D91082" w:rsidRDefault="00D91082" w:rsidP="007006CB">
                                    <w:pPr>
                                      <w:jc w:val="center"/>
                                    </w:pPr>
                                    <w:r>
                                      <w:t>Imports for re-export = 300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1996440" y="678180"/>
                                  <a:ext cx="1104900" cy="495300"/>
                                </a:xfrm>
                                <a:prstGeom prst="rect">
                                  <a:avLst/>
                                </a:prstGeom>
                                <a:solidFill>
                                  <a:schemeClr val="lt1"/>
                                </a:solidFill>
                                <a:ln w="6350">
                                  <a:solidFill>
                                    <a:schemeClr val="tx1"/>
                                  </a:solidFill>
                                </a:ln>
                              </wps:spPr>
                              <wps:txbx>
                                <w:txbxContent>
                                  <w:p w14:paraId="4781B9C6" w14:textId="77777777" w:rsidR="00D91082" w:rsidRDefault="00D91082" w:rsidP="007006CB">
                                    <w:pPr>
                                      <w:jc w:val="center"/>
                                    </w:pPr>
                                    <w:r>
                                      <w:t>Exports = 500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Straight Arrow Connector 33"/>
                              <wps:cNvCnPr/>
                              <wps:spPr>
                                <a:xfrm>
                                  <a:off x="1470660" y="213360"/>
                                  <a:ext cx="108966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flipH="1">
                                  <a:off x="2514600" y="205740"/>
                                  <a:ext cx="111252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a:off x="2529840" y="228600"/>
                                  <a:ext cx="7620" cy="4724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a:off x="723900" y="502920"/>
                                  <a:ext cx="7620" cy="5181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 name="Text Box 37"/>
                              <wps:cNvSpPr txBox="1"/>
                              <wps:spPr>
                                <a:xfrm>
                                  <a:off x="0" y="1021080"/>
                                  <a:ext cx="1463040" cy="495300"/>
                                </a:xfrm>
                                <a:prstGeom prst="rect">
                                  <a:avLst/>
                                </a:prstGeom>
                                <a:solidFill>
                                  <a:schemeClr val="lt1"/>
                                </a:solidFill>
                                <a:ln w="6350">
                                  <a:solidFill>
                                    <a:schemeClr val="tx1"/>
                                  </a:solidFill>
                                </a:ln>
                              </wps:spPr>
                              <wps:txbx>
                                <w:txbxContent>
                                  <w:p w14:paraId="56C0C7F4" w14:textId="77777777" w:rsidR="00D91082" w:rsidRDefault="00D91082" w:rsidP="007006CB">
                                    <w:pPr>
                                      <w:jc w:val="center"/>
                                    </w:pPr>
                                    <w:r>
                                      <w:t>Supply to Domestic Economy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D09D7A6" id="Group 29" o:spid="_x0000_s1035" style="position:absolute;margin-left:22.55pt;margin-top:4.05pt;width:401.4pt;height:119.4pt;z-index:251680768" coordsize="50977,15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">
                      <v:shape id="Text Box 30" o:spid="_x0000_s1036" type="#_x0000_t202" style="position:absolute;left:76;width:14630;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" fillcolor="white [3201]" strokecolor="black [3213]" strokeweight=".5pt">
                        <v:textbox>
                          <w:txbxContent>
                            <w:p w14:paraId="02EF83CC" w14:textId="77777777" w:rsidR="00D91082" w:rsidRDefault="00D91082" w:rsidP="007006CB">
                              <w:pPr>
                                <w:jc w:val="center"/>
                              </w:pPr>
                              <w:r>
                                <w:t>Supply from Domestic Sources = 200</w:t>
                              </w:r>
                            </w:p>
                          </w:txbxContent>
                        </v:textbox>
                      </v:shape>
                      <v:shape id="Text Box 31" o:spid="_x0000_s1037" type="#_x0000_t202" style="position:absolute;left:36271;width:14706;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" fillcolor="white [3201]" strokecolor="black [3213]" strokeweight=".5pt">
                        <v:textbox>
                          <w:txbxContent>
                            <w:p w14:paraId="399FEE32" w14:textId="77777777" w:rsidR="00D91082" w:rsidRDefault="00D91082" w:rsidP="007006CB">
                              <w:pPr>
                                <w:jc w:val="center"/>
                              </w:pPr>
                              <w:r>
                                <w:t>Imports for re-export = 300</w:t>
                              </w:r>
                            </w:p>
                          </w:txbxContent>
                        </v:textbox>
                      </v:shape>
                      <v:shape id="Text Box 32" o:spid="_x0000_s1038" type="#_x0000_t202" style="position:absolute;left:19964;top:6781;width:11049;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" fillcolor="white [3201]" strokecolor="black [3213]" strokeweight=".5pt">
                        <v:textbox>
                          <w:txbxContent>
                            <w:p w14:paraId="4781B9C6" w14:textId="77777777" w:rsidR="00D91082" w:rsidRDefault="00D91082" w:rsidP="007006CB">
                              <w:pPr>
                                <w:jc w:val="center"/>
                              </w:pPr>
                              <w:r>
                                <w:t>Exports = 500</w:t>
                              </w:r>
                            </w:p>
                          </w:txbxContent>
                        </v:textbox>
                      </v:shape>
                      <v:shape id="Straight Arrow Connector 33" o:spid="_x0000_s1039" type="#_x0000_t32" style="position:absolute;left:14706;top:2133;width:108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" strokecolor="black [3213]" strokeweight=".5pt">
                        <v:stroke endarrow="block" joinstyle="miter"/>
                      </v:shape>
                      <v:shape id="Straight Arrow Connector 34" o:spid="_x0000_s1040" type="#_x0000_t32" style="position:absolute;left:25146;top:2057;width:11125;height: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" strokecolor="black [3213]" strokeweight=".5pt">
                        <v:stroke endarrow="block" joinstyle="miter"/>
                      </v:shape>
                      <v:shape id="Straight Arrow Connector 35" o:spid="_x0000_s1041" type="#_x0000_t32" style="position:absolute;left:25298;top:2286;width:76;height:47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" strokecolor="black [3213]" strokeweight=".5pt">
                        <v:stroke endarrow="block" joinstyle="miter"/>
                      </v:shape>
                      <v:shape id="Straight Arrow Connector 36" o:spid="_x0000_s1042" type="#_x0000_t32" style="position:absolute;left:7239;top:5029;width:76;height:51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" strokecolor="black [3213]" strokeweight=".5pt">
                        <v:stroke endarrow="block" joinstyle="miter"/>
                      </v:shape>
                      <v:shape id="Text Box 37" o:spid="_x0000_s1043" type="#_x0000_t202" style="position:absolute;top:10210;width:14630;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" fillcolor="white [3201]" strokecolor="black [3213]" strokeweight=".5pt">
                        <v:textbox>
                          <w:txbxContent>
                            <w:p w14:paraId="56C0C7F4" w14:textId="77777777" w:rsidR="00D91082" w:rsidRDefault="00D91082" w:rsidP="007006CB">
                              <w:pPr>
                                <w:jc w:val="center"/>
                              </w:pPr>
                              <w:r>
                                <w:t>Supply to Domestic Economy = 0</w:t>
                              </w:r>
                            </w:p>
                          </w:txbxContent>
                        </v:textbox>
                      </v:shape>
                    </v:group>
                  </w:pict>
                </mc:Fallback>
              </mc:AlternateContent>
            </w:r>
          </w:p>
          <w:p w14:paraId="742588EA" w14:textId="77777777" w:rsidR="007006CB" w:rsidRDefault="007006CB" w:rsidP="00B571EF"/>
          <w:p w14:paraId="5F0270AB" w14:textId="77777777" w:rsidR="007006CB" w:rsidRDefault="007006CB" w:rsidP="00B571EF"/>
          <w:p w14:paraId="7BA92D1B" w14:textId="77777777" w:rsidR="007006CB" w:rsidRDefault="007006CB" w:rsidP="00B571EF"/>
          <w:p w14:paraId="24344E9C" w14:textId="77777777" w:rsidR="007006CB" w:rsidRDefault="007006CB" w:rsidP="00B571EF"/>
          <w:p w14:paraId="05B87C6F" w14:textId="77777777" w:rsidR="007006CB" w:rsidRDefault="007006CB" w:rsidP="00B571EF"/>
          <w:p w14:paraId="118A65ED" w14:textId="77777777" w:rsidR="007006CB" w:rsidRDefault="007006CB" w:rsidP="00B571EF"/>
          <w:p w14:paraId="0574E009" w14:textId="77777777" w:rsidR="007006CB" w:rsidRDefault="007006CB" w:rsidP="00B571EF"/>
          <w:p w14:paraId="6FC36FD1" w14:textId="77777777" w:rsidR="007006CB" w:rsidRDefault="007006CB" w:rsidP="00B571EF"/>
          <w:p w14:paraId="37A587C2" w14:textId="77777777" w:rsidR="007006CB" w:rsidRDefault="007006CB" w:rsidP="00B571EF"/>
          <w:p w14:paraId="6455E76E" w14:textId="77777777" w:rsidR="007006CB" w:rsidRDefault="007006CB" w:rsidP="00B571EF"/>
        </w:tc>
      </w:tr>
    </w:tbl>
    <w:p w14:paraId="37B05950" w14:textId="77777777" w:rsidR="007006CB" w:rsidRDefault="007006CB" w:rsidP="00671CC4"/>
    <w:p w14:paraId="39896814" w14:textId="64FE1E19" w:rsidR="0059534C" w:rsidRDefault="00BC4391" w:rsidP="00671CC4">
      <w:proofErr w:type="spellStart"/>
      <w:r>
        <w:t>net_imports</w:t>
      </w:r>
      <w:proofErr w:type="spellEnd"/>
      <w:r>
        <w:t xml:space="preserve"> </w:t>
      </w:r>
      <w:r w:rsidR="00BB4029">
        <w:t>–</w:t>
      </w:r>
      <w:r>
        <w:t xml:space="preserve"> </w:t>
      </w:r>
      <w:r w:rsidR="00BB4029">
        <w:t>The net imports worksheet removes the re-exported imports from the total imports. This is the imports that are used in the domestic economy.</w:t>
      </w:r>
    </w:p>
    <w:p w14:paraId="03D5A2BE" w14:textId="0982D723" w:rsidR="00781100" w:rsidRDefault="00781100" w:rsidP="00671CC4"/>
    <w:p w14:paraId="7B8403BF" w14:textId="08697DBF" w:rsidR="00781100" w:rsidRDefault="00781100" w:rsidP="00082A13">
      <w:pPr>
        <w:jc w:val="both"/>
      </w:pPr>
      <w:proofErr w:type="spellStart"/>
      <w:r>
        <w:t>dom_output_inter</w:t>
      </w:r>
      <w:proofErr w:type="spellEnd"/>
      <w:r>
        <w:t xml:space="preserve"> – Given the amount of supplies provided to domestic economy from domestic producers we estimate how </w:t>
      </w:r>
      <w:r w:rsidR="00D062CF">
        <w:t>much of these</w:t>
      </w:r>
      <w:r>
        <w:t xml:space="preserve"> supplies goes to intermediate producers and for gross capital formation, and to final consumers.</w:t>
      </w:r>
      <w:r w:rsidR="00D062CF">
        <w:t xml:space="preserve"> This information is needed to calculate the output taxes that are not collected due to reverse charge. Such non-collection of input tax due to reverse charge arises only when the domestic supply is made to domestic producers hence final consumption needs to be removed </w:t>
      </w:r>
      <w:r w:rsidR="00011D3A">
        <w:t xml:space="preserve">for </w:t>
      </w:r>
      <w:r w:rsidR="00D062CF">
        <w:t xml:space="preserve">the estimation of this output tax not collected. </w:t>
      </w:r>
    </w:p>
    <w:p w14:paraId="2CB727E9" w14:textId="3A2A81D4" w:rsidR="00781100" w:rsidRDefault="00781100" w:rsidP="00671CC4"/>
    <w:p w14:paraId="0BC3806E" w14:textId="44957C8B" w:rsidR="00ED4B38" w:rsidRDefault="00F45A81" w:rsidP="00E91C62">
      <w:pPr>
        <w:jc w:val="both"/>
      </w:pPr>
      <w:proofErr w:type="spellStart"/>
      <w:r>
        <w:t>rev_charge_output</w:t>
      </w:r>
      <w:proofErr w:type="spellEnd"/>
      <w:r>
        <w:t xml:space="preserve"> – This worksheet calculated the output on which reverse charge is applied. As reverse charge is applied on transactions between </w:t>
      </w:r>
      <w:proofErr w:type="gramStart"/>
      <w:r>
        <w:t>producers</w:t>
      </w:r>
      <w:proofErr w:type="gramEnd"/>
      <w:r>
        <w:t xml:space="preserve"> taxpayers, it uses the data given in the worksheet </w:t>
      </w:r>
      <w:proofErr w:type="spellStart"/>
      <w:r>
        <w:t>dom_output_inter</w:t>
      </w:r>
      <w:proofErr w:type="spellEnd"/>
      <w:r>
        <w:t xml:space="preserve"> and the data given in the worksheet </w:t>
      </w:r>
      <w:proofErr w:type="spellStart"/>
      <w:r>
        <w:t>rc_ratio</w:t>
      </w:r>
      <w:proofErr w:type="spellEnd"/>
      <w:r>
        <w:t>, which is the ratio of supplies by commodity on which reverse charge is applied.</w:t>
      </w:r>
    </w:p>
    <w:p w14:paraId="21DBD6C2" w14:textId="35D7C893" w:rsidR="00DF6374" w:rsidRDefault="00DF6374" w:rsidP="00671CC4"/>
    <w:p w14:paraId="32366E58" w14:textId="08B8D32C" w:rsidR="00F45A81" w:rsidRDefault="00F45A81" w:rsidP="00671CC4">
      <w:proofErr w:type="spellStart"/>
      <w:r>
        <w:t>inter_use</w:t>
      </w:r>
      <w:proofErr w:type="spellEnd"/>
      <w:r>
        <w:t xml:space="preserve"> – This worksheet estimates the sum of the intermediate use given in </w:t>
      </w:r>
      <w:proofErr w:type="spellStart"/>
      <w:r>
        <w:t>use_fin_gcf_tax_excl</w:t>
      </w:r>
      <w:proofErr w:type="spellEnd"/>
      <w:r>
        <w:t xml:space="preserve"> and the gross fixed capital formation calculated in the worksheet </w:t>
      </w:r>
      <w:proofErr w:type="spellStart"/>
      <w:r>
        <w:t>gcf_alloc</w:t>
      </w:r>
      <w:proofErr w:type="spellEnd"/>
      <w:r>
        <w:t>.</w:t>
      </w:r>
    </w:p>
    <w:p w14:paraId="7AC749D8" w14:textId="358A0318" w:rsidR="005141B4" w:rsidRDefault="005141B4" w:rsidP="00671CC4"/>
    <w:p w14:paraId="27D64AF1" w14:textId="6A567A9D" w:rsidR="008C5D75" w:rsidRDefault="00F45A81" w:rsidP="00671CC4">
      <w:pPr>
        <w:rPr>
          <w:rFonts w:eastAsiaTheme="minorEastAsia"/>
          <w:sz w:val="28"/>
          <w:szCs w:val="28"/>
        </w:rPr>
      </w:pPr>
      <w:proofErr w:type="spellStart"/>
      <w:r>
        <w:t>Imports_alloc</w:t>
      </w:r>
      <w:proofErr w:type="spellEnd"/>
      <w:r>
        <w:t xml:space="preserve"> – This worksheet allocates the imports</w:t>
      </w:r>
      <w:r w:rsidR="008C5D75">
        <w:t xml:space="preserve"> which is shown by commodity to </w:t>
      </w:r>
      <w:r w:rsidR="00ED53D6">
        <w:t>(commodity, industry)</w:t>
      </w:r>
      <w:r w:rsidR="008C5D75">
        <w:t xml:space="preserve"> using the data from the worksheet </w:t>
      </w:r>
      <w:proofErr w:type="spellStart"/>
      <w:r w:rsidR="008C5D75">
        <w:t>net_imports</w:t>
      </w:r>
      <w:proofErr w:type="spellEnd"/>
      <w:r w:rsidR="008C5D75">
        <w:t xml:space="preserve">, the </w:t>
      </w:r>
      <w:proofErr w:type="spellStart"/>
      <w:r w:rsidR="008C5D75">
        <w:t>use_fin_gcf_comm_ratio</w:t>
      </w:r>
      <w:proofErr w:type="spellEnd"/>
      <w:r w:rsidR="008C5D75">
        <w:t xml:space="preserve"> </w:t>
      </w:r>
      <m:oMath>
        <m:f>
          <m:fPr>
            <m:ctrlPr>
              <w:rPr>
                <w:rFonts w:ascii="Cambria Math" w:eastAsiaTheme="minorEastAsia" w:hAnsi="Cambria Math"/>
                <w:i/>
                <w:sz w:val="28"/>
                <w:szCs w:val="28"/>
              </w:rPr>
            </m:ctrlPr>
          </m:fPr>
          <m:num>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i</m:t>
                </m:r>
              </m:sub>
              <m:sup/>
              <m:e>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ci</m:t>
                    </m:r>
                  </m:sub>
                </m:sSub>
              </m:e>
            </m:nary>
          </m:num>
          <m:den>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i</m:t>
                </m:r>
              </m:sub>
              <m:sup/>
              <m:e>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ci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c</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c</m:t>
                    </m:r>
                  </m:sub>
                </m:sSub>
              </m:e>
            </m:nary>
          </m:den>
        </m:f>
      </m:oMath>
      <w:r w:rsidR="008C5D75">
        <w:rPr>
          <w:rFonts w:eastAsiaTheme="minorEastAsia"/>
          <w:sz w:val="28"/>
          <w:szCs w:val="28"/>
        </w:rPr>
        <w:t xml:space="preserve"> </w:t>
      </w:r>
      <w:r w:rsidR="008C5D75" w:rsidRPr="008C5D75">
        <w:rPr>
          <w:rFonts w:eastAsiaTheme="minorEastAsia"/>
        </w:rPr>
        <w:t>and the</w:t>
      </w:r>
      <w:r w:rsidR="008C5D75">
        <w:rPr>
          <w:rFonts w:eastAsiaTheme="minorEastAsia"/>
        </w:rPr>
        <w:t xml:space="preserve"> data from the worksheet </w:t>
      </w:r>
      <w:proofErr w:type="spellStart"/>
      <w:r w:rsidR="008C5D75">
        <w:rPr>
          <w:rFonts w:eastAsiaTheme="minorEastAsia"/>
        </w:rPr>
        <w:t>inter_use_mat_comm_ratio</w:t>
      </w:r>
      <w:proofErr w:type="spellEnd"/>
      <w:r w:rsidR="008C5D75">
        <w:rPr>
          <w:rFonts w:eastAsiaTheme="minorEastAsia"/>
        </w:rPr>
        <w:t xml:space="preserve"> </w:t>
      </w:r>
      <m:oMath>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ci</m:t>
                </m:r>
              </m:sub>
            </m:sSub>
          </m:num>
          <m:den>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i</m:t>
                </m:r>
              </m:sub>
              <m:sup/>
              <m:e>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ci</m:t>
                    </m:r>
                  </m:sub>
                </m:sSub>
              </m:e>
            </m:nary>
          </m:den>
        </m:f>
      </m:oMath>
      <w:r w:rsidR="008C5D75" w:rsidRPr="008C5D75">
        <w:rPr>
          <w:rFonts w:eastAsiaTheme="minorEastAsia"/>
        </w:rPr>
        <w:t xml:space="preserve"> as shown in (7),</w:t>
      </w:r>
      <w:r w:rsidR="008C5D75">
        <w:rPr>
          <w:rFonts w:eastAsiaTheme="minorEastAsia"/>
          <w:sz w:val="28"/>
          <w:szCs w:val="28"/>
        </w:rPr>
        <w:t xml:space="preserve"> </w:t>
      </w:r>
      <m:oMath>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ci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c</m:t>
            </m:r>
          </m:sub>
        </m:sSub>
        <m:r>
          <w:rPr>
            <w:rFonts w:ascii="Cambria Math"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ci</m:t>
                </m:r>
              </m:sub>
            </m:sSub>
          </m:num>
          <m:den>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i</m:t>
                </m:r>
              </m:sub>
              <m:sup/>
              <m:e>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ci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c</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c</m:t>
                    </m:r>
                  </m:sub>
                </m:sSub>
              </m:e>
            </m:nary>
          </m:den>
        </m:f>
      </m:oMath>
      <w:r w:rsidR="008C5D75">
        <w:rPr>
          <w:rFonts w:eastAsiaTheme="minorEastAsia"/>
          <w:sz w:val="28"/>
          <w:szCs w:val="28"/>
        </w:rPr>
        <w:t xml:space="preserve">   </w:t>
      </w:r>
      <w:r w:rsidR="00ED53D6">
        <w:rPr>
          <w:rFonts w:eastAsiaTheme="minorEastAsia"/>
          <w:sz w:val="28"/>
          <w:szCs w:val="28"/>
        </w:rPr>
        <w:t>.</w:t>
      </w:r>
    </w:p>
    <w:p w14:paraId="0E427ED9" w14:textId="3E08696E" w:rsidR="00ED53D6" w:rsidRDefault="00ED53D6" w:rsidP="00671CC4">
      <w:pPr>
        <w:rPr>
          <w:rFonts w:eastAsiaTheme="minorEastAsia"/>
        </w:rPr>
      </w:pPr>
    </w:p>
    <w:p w14:paraId="63C16D9C" w14:textId="3C54ADC0" w:rsidR="00ED53D6" w:rsidRDefault="00ED53D6" w:rsidP="00671CC4">
      <w:pPr>
        <w:rPr>
          <w:rFonts w:eastAsiaTheme="minorEastAsia"/>
        </w:rPr>
      </w:pPr>
      <w:proofErr w:type="spellStart"/>
      <w:r>
        <w:rPr>
          <w:rFonts w:eastAsiaTheme="minorEastAsia"/>
        </w:rPr>
        <w:t>Imports_eu_alloc</w:t>
      </w:r>
      <w:proofErr w:type="spellEnd"/>
      <w:r>
        <w:rPr>
          <w:rFonts w:eastAsiaTheme="minorEastAsia"/>
        </w:rPr>
        <w:t xml:space="preserve"> and </w:t>
      </w:r>
      <w:proofErr w:type="spellStart"/>
      <w:r>
        <w:rPr>
          <w:rFonts w:eastAsiaTheme="minorEastAsia"/>
        </w:rPr>
        <w:t>imports_noneu_alloc</w:t>
      </w:r>
      <w:proofErr w:type="spellEnd"/>
      <w:r>
        <w:rPr>
          <w:rFonts w:eastAsiaTheme="minorEastAsia"/>
        </w:rPr>
        <w:t xml:space="preserve"> – Just as the total imports are allocated above, in </w:t>
      </w:r>
      <w:proofErr w:type="gramStart"/>
      <w:r>
        <w:rPr>
          <w:rFonts w:eastAsiaTheme="minorEastAsia"/>
        </w:rPr>
        <w:t>a similar manner</w:t>
      </w:r>
      <w:proofErr w:type="gramEnd"/>
      <w:r>
        <w:rPr>
          <w:rFonts w:eastAsiaTheme="minorEastAsia"/>
        </w:rPr>
        <w:t xml:space="preserve"> the imports from EU and non-EU which are shown by commodity are allocated to (commodity, industry).</w:t>
      </w:r>
    </w:p>
    <w:p w14:paraId="179A784B" w14:textId="27783389" w:rsidR="00ED53D6" w:rsidRDefault="00ED53D6" w:rsidP="00671CC4">
      <w:pPr>
        <w:rPr>
          <w:rFonts w:eastAsiaTheme="minorEastAsia"/>
        </w:rPr>
      </w:pPr>
    </w:p>
    <w:p w14:paraId="495DD7F9" w14:textId="208830BA" w:rsidR="00B571EF" w:rsidRDefault="00B571EF" w:rsidP="00671CC4">
      <w:pPr>
        <w:rPr>
          <w:rFonts w:eastAsiaTheme="minorEastAsia"/>
        </w:rPr>
      </w:pPr>
      <w:proofErr w:type="spellStart"/>
      <w:r>
        <w:rPr>
          <w:rFonts w:eastAsiaTheme="minorEastAsia"/>
        </w:rPr>
        <w:t>inter_use_dom</w:t>
      </w:r>
      <w:proofErr w:type="spellEnd"/>
      <w:r>
        <w:rPr>
          <w:rFonts w:eastAsiaTheme="minorEastAsia"/>
        </w:rPr>
        <w:t xml:space="preserve"> – As we know the domestic use by (commodity, industry) we can </w:t>
      </w:r>
      <w:r w:rsidR="00C70C37">
        <w:rPr>
          <w:rFonts w:eastAsiaTheme="minorEastAsia"/>
        </w:rPr>
        <w:t xml:space="preserve">estimate the use from domestic sources by subtracting the supply from imports allocated by (commodity, industry) as calculated in the worksheet </w:t>
      </w:r>
      <w:proofErr w:type="spellStart"/>
      <w:r w:rsidR="00C70C37">
        <w:rPr>
          <w:rFonts w:eastAsiaTheme="minorEastAsia"/>
        </w:rPr>
        <w:t>imports_alloc</w:t>
      </w:r>
      <w:proofErr w:type="spellEnd"/>
      <w:r w:rsidR="00C70C37">
        <w:rPr>
          <w:rFonts w:eastAsiaTheme="minorEastAsia"/>
        </w:rPr>
        <w:t>.</w:t>
      </w:r>
    </w:p>
    <w:p w14:paraId="0328AFDC" w14:textId="77777777" w:rsidR="00C70C37" w:rsidRPr="00ED53D6" w:rsidRDefault="00C70C37" w:rsidP="00671CC4">
      <w:pPr>
        <w:rPr>
          <w:rFonts w:eastAsiaTheme="minorEastAsia"/>
        </w:rPr>
      </w:pPr>
    </w:p>
    <w:p w14:paraId="4194AF4E" w14:textId="20C5DE2B" w:rsidR="00ED53D6" w:rsidRDefault="00C70C37" w:rsidP="00E91C62">
      <w:pPr>
        <w:jc w:val="both"/>
        <w:rPr>
          <w:rFonts w:eastAsiaTheme="minorEastAsia"/>
        </w:rPr>
      </w:pPr>
      <w:proofErr w:type="spellStart"/>
      <w:r>
        <w:rPr>
          <w:rFonts w:eastAsiaTheme="minorEastAsia"/>
        </w:rPr>
        <w:t>imported_final_cons</w:t>
      </w:r>
      <w:proofErr w:type="spellEnd"/>
      <w:r>
        <w:rPr>
          <w:rFonts w:eastAsiaTheme="minorEastAsia"/>
        </w:rPr>
        <w:t xml:space="preserve"> – In this worksheet we allocate the imports to final consumption in proportion to the total use as calculated in the worksheet </w:t>
      </w:r>
      <w:proofErr w:type="spellStart"/>
      <w:r>
        <w:rPr>
          <w:rFonts w:eastAsiaTheme="minorEastAsia"/>
        </w:rPr>
        <w:t>use_fin_gcf_comm_ratio</w:t>
      </w:r>
      <w:proofErr w:type="spellEnd"/>
      <w:r>
        <w:rPr>
          <w:rFonts w:eastAsiaTheme="minorEastAsia"/>
        </w:rPr>
        <w:t xml:space="preserve">. </w:t>
      </w:r>
      <w:r w:rsidR="00383098">
        <w:rPr>
          <w:rFonts w:eastAsiaTheme="minorEastAsia"/>
        </w:rPr>
        <w:t>This worksheet is not used but could provide an option to address the lack of data on the resale of commodities by the trade sector if we assume that all imported final consumption goes through the trade sector.</w:t>
      </w:r>
    </w:p>
    <w:p w14:paraId="58CF0D38" w14:textId="61E8EBFC" w:rsidR="00383098" w:rsidRDefault="00383098" w:rsidP="00671CC4">
      <w:pPr>
        <w:rPr>
          <w:rFonts w:eastAsiaTheme="minorEastAsia"/>
        </w:rPr>
      </w:pPr>
    </w:p>
    <w:p w14:paraId="3FB208F9" w14:textId="3532F192" w:rsidR="00383098" w:rsidRDefault="009C3BE0" w:rsidP="00E91C62">
      <w:pPr>
        <w:jc w:val="both"/>
        <w:rPr>
          <w:rFonts w:eastAsiaTheme="minorEastAsia"/>
        </w:rPr>
      </w:pPr>
      <w:proofErr w:type="spellStart"/>
      <w:r>
        <w:rPr>
          <w:rFonts w:eastAsiaTheme="minorEastAsia"/>
        </w:rPr>
        <w:t>rev_charge_purchases</w:t>
      </w:r>
      <w:proofErr w:type="spellEnd"/>
      <w:r>
        <w:rPr>
          <w:rFonts w:eastAsiaTheme="minorEastAsia"/>
        </w:rPr>
        <w:t xml:space="preserve"> – This calculates the reverse charge that purchases of the applicable commodities. It uses the data on domestic purchases from </w:t>
      </w:r>
      <w:proofErr w:type="spellStart"/>
      <w:r>
        <w:rPr>
          <w:rFonts w:eastAsiaTheme="minorEastAsia"/>
        </w:rPr>
        <w:t>inter_use_dom</w:t>
      </w:r>
      <w:proofErr w:type="spellEnd"/>
      <w:r>
        <w:rPr>
          <w:rFonts w:eastAsiaTheme="minorEastAsia"/>
        </w:rPr>
        <w:t xml:space="preserve"> and the relevant commodities coming under the reverse charge policy </w:t>
      </w:r>
      <w:proofErr w:type="spellStart"/>
      <w:r>
        <w:rPr>
          <w:rFonts w:eastAsiaTheme="minorEastAsia"/>
        </w:rPr>
        <w:t>rc_ratio</w:t>
      </w:r>
      <w:proofErr w:type="spellEnd"/>
      <w:r>
        <w:rPr>
          <w:rFonts w:eastAsiaTheme="minorEastAsia"/>
        </w:rPr>
        <w:t>.</w:t>
      </w:r>
    </w:p>
    <w:p w14:paraId="634C1631" w14:textId="5DE36DFB" w:rsidR="00383098" w:rsidRDefault="00383098" w:rsidP="00671CC4">
      <w:pPr>
        <w:rPr>
          <w:rFonts w:eastAsiaTheme="minorEastAsia"/>
        </w:rPr>
      </w:pPr>
    </w:p>
    <w:p w14:paraId="78FF1FAE" w14:textId="6FB4F008" w:rsidR="00E91C62" w:rsidRDefault="00E91C62" w:rsidP="00E91C62">
      <w:pPr>
        <w:jc w:val="both"/>
        <w:rPr>
          <w:rFonts w:eastAsiaTheme="minorEastAsia"/>
        </w:rPr>
      </w:pPr>
      <w:proofErr w:type="spellStart"/>
      <w:r>
        <w:rPr>
          <w:rFonts w:eastAsiaTheme="minorEastAsia"/>
        </w:rPr>
        <w:t>rev_charge_pur_tax</w:t>
      </w:r>
      <w:proofErr w:type="spellEnd"/>
      <w:r>
        <w:rPr>
          <w:rFonts w:eastAsiaTheme="minorEastAsia"/>
        </w:rPr>
        <w:t xml:space="preserve"> – This worksheet calculates the tax on the supplies in which reverse charge is applied by multiplying the data in </w:t>
      </w:r>
      <w:proofErr w:type="spellStart"/>
      <w:r>
        <w:rPr>
          <w:rFonts w:eastAsiaTheme="minorEastAsia"/>
        </w:rPr>
        <w:t>rev_charge_purchases</w:t>
      </w:r>
      <w:proofErr w:type="spellEnd"/>
      <w:r>
        <w:rPr>
          <w:rFonts w:eastAsiaTheme="minorEastAsia"/>
        </w:rPr>
        <w:t xml:space="preserve"> with the tax rate by commodity provided in the </w:t>
      </w:r>
      <w:r w:rsidR="00C7170B">
        <w:rPr>
          <w:rFonts w:eastAsiaTheme="minorEastAsia"/>
        </w:rPr>
        <w:t xml:space="preserve">worksheet </w:t>
      </w:r>
      <w:proofErr w:type="spellStart"/>
      <w:r>
        <w:rPr>
          <w:rFonts w:eastAsiaTheme="minorEastAsia"/>
        </w:rPr>
        <w:t>effective_tax_rates_table</w:t>
      </w:r>
      <w:proofErr w:type="spellEnd"/>
      <w:r>
        <w:rPr>
          <w:rFonts w:eastAsiaTheme="minorEastAsia"/>
        </w:rPr>
        <w:t>.</w:t>
      </w:r>
    </w:p>
    <w:p w14:paraId="0B1013BC" w14:textId="02D1D636" w:rsidR="00E91C62" w:rsidRDefault="00E91C62" w:rsidP="00E91C62">
      <w:pPr>
        <w:jc w:val="both"/>
        <w:rPr>
          <w:rFonts w:eastAsiaTheme="minorEastAsia"/>
        </w:rPr>
      </w:pPr>
    </w:p>
    <w:p w14:paraId="471390F6" w14:textId="3BFA0D52" w:rsidR="00E91C62" w:rsidRDefault="00E91C62" w:rsidP="00E91C62">
      <w:pPr>
        <w:jc w:val="both"/>
        <w:rPr>
          <w:rFonts w:eastAsiaTheme="minorEastAsia"/>
        </w:rPr>
      </w:pPr>
      <w:proofErr w:type="spellStart"/>
      <w:r>
        <w:rPr>
          <w:rFonts w:eastAsiaTheme="minorEastAsia"/>
        </w:rPr>
        <w:t>output_tax</w:t>
      </w:r>
      <w:proofErr w:type="spellEnd"/>
      <w:r>
        <w:rPr>
          <w:rFonts w:eastAsiaTheme="minorEastAsia"/>
        </w:rPr>
        <w:t xml:space="preserve"> – This worksheet calculates the output tax as shown i</w:t>
      </w:r>
      <w:r w:rsidR="00491B58">
        <w:rPr>
          <w:rFonts w:eastAsiaTheme="minorEastAsia"/>
        </w:rPr>
        <w:t xml:space="preserve">n equation (4) using the </w:t>
      </w:r>
      <w:r w:rsidR="0063210E">
        <w:rPr>
          <w:rFonts w:eastAsiaTheme="minorEastAsia"/>
        </w:rPr>
        <w:t xml:space="preserve">data from the worksheet </w:t>
      </w:r>
      <w:proofErr w:type="spellStart"/>
      <w:r w:rsidR="0063210E">
        <w:rPr>
          <w:rFonts w:eastAsiaTheme="minorEastAsia"/>
        </w:rPr>
        <w:t>dom_output_pos</w:t>
      </w:r>
      <w:proofErr w:type="spellEnd"/>
      <w:r w:rsidR="00C7170B">
        <w:rPr>
          <w:rFonts w:eastAsiaTheme="minorEastAsia"/>
        </w:rPr>
        <w:t>.</w:t>
      </w:r>
    </w:p>
    <w:p w14:paraId="02DDDAE9" w14:textId="2D5E3D57" w:rsidR="00C7170B" w:rsidRPr="00ED53D6" w:rsidRDefault="00C7170B" w:rsidP="00E91C62">
      <w:pPr>
        <w:jc w:val="both"/>
        <w:rPr>
          <w:rFonts w:eastAsiaTheme="minorEastAsia"/>
        </w:rPr>
      </w:pPr>
      <w:proofErr w:type="spellStart"/>
      <w:r>
        <w:rPr>
          <w:rFonts w:eastAsiaTheme="minorEastAsia"/>
        </w:rPr>
        <w:t>rev_charge_output_tax</w:t>
      </w:r>
      <w:proofErr w:type="spellEnd"/>
      <w:r>
        <w:rPr>
          <w:rFonts w:eastAsiaTheme="minorEastAsia"/>
        </w:rPr>
        <w:t xml:space="preserve"> – This worksheet calculates the amount of tax on reverse charge using the data from the worksheet </w:t>
      </w:r>
      <w:proofErr w:type="spellStart"/>
      <w:r>
        <w:rPr>
          <w:rFonts w:eastAsiaTheme="minorEastAsia"/>
        </w:rPr>
        <w:t>rev_charge_output</w:t>
      </w:r>
      <w:proofErr w:type="spellEnd"/>
      <w:r>
        <w:rPr>
          <w:rFonts w:eastAsiaTheme="minorEastAsia"/>
        </w:rPr>
        <w:t xml:space="preserve"> and the tax rate provided in the worksheet </w:t>
      </w:r>
      <w:proofErr w:type="spellStart"/>
      <w:r>
        <w:rPr>
          <w:rFonts w:eastAsiaTheme="minorEastAsia"/>
        </w:rPr>
        <w:t>effective_tax_rates_table</w:t>
      </w:r>
      <w:proofErr w:type="spellEnd"/>
      <w:r>
        <w:rPr>
          <w:rFonts w:eastAsiaTheme="minorEastAsia"/>
        </w:rPr>
        <w:t xml:space="preserve">. </w:t>
      </w:r>
    </w:p>
    <w:p w14:paraId="0AA58DD5" w14:textId="030A2021" w:rsidR="00F45A81" w:rsidRDefault="00F45A81" w:rsidP="00671CC4">
      <w:pPr>
        <w:rPr>
          <w:rFonts w:eastAsiaTheme="minorEastAsia"/>
        </w:rPr>
      </w:pPr>
    </w:p>
    <w:p w14:paraId="367F5487" w14:textId="01ACDAD2" w:rsidR="007C1AA3" w:rsidRDefault="007C1AA3" w:rsidP="00980815">
      <w:pPr>
        <w:jc w:val="both"/>
        <w:rPr>
          <w:rFonts w:eastAsiaTheme="minorEastAsia"/>
        </w:rPr>
      </w:pPr>
      <w:proofErr w:type="spellStart"/>
      <w:r>
        <w:rPr>
          <w:rFonts w:eastAsiaTheme="minorEastAsia"/>
        </w:rPr>
        <w:t>input_tax_credit_dom</w:t>
      </w:r>
      <w:proofErr w:type="spellEnd"/>
      <w:r>
        <w:rPr>
          <w:rFonts w:eastAsiaTheme="minorEastAsia"/>
        </w:rPr>
        <w:t xml:space="preserve"> – This worksheet calculates the input tax credit on domestic inputs which is </w:t>
      </w:r>
      <w:r w:rsidR="007F0540">
        <w:rPr>
          <w:rFonts w:eastAsiaTheme="minorEastAsia"/>
        </w:rPr>
        <w:t xml:space="preserve">shown in the </w:t>
      </w:r>
      <w:r>
        <w:rPr>
          <w:rFonts w:eastAsiaTheme="minorEastAsia"/>
        </w:rPr>
        <w:t>expression in (5)</w:t>
      </w:r>
      <w:r w:rsidR="007F0540">
        <w:rPr>
          <w:rFonts w:eastAsiaTheme="minorEastAsia"/>
        </w:rPr>
        <w:t>.</w:t>
      </w:r>
    </w:p>
    <w:p w14:paraId="7A4EE031" w14:textId="5F5B2A78" w:rsidR="007C1AA3" w:rsidRDefault="006955BE" w:rsidP="00980815">
      <w:pPr>
        <w:jc w:val="both"/>
        <w:rPr>
          <w:rFonts w:eastAsiaTheme="minorEastAsia"/>
        </w:rPr>
      </w:pPr>
      <w:proofErr w:type="spellStart"/>
      <w:r>
        <w:rPr>
          <w:rFonts w:eastAsiaTheme="minorEastAsia"/>
        </w:rPr>
        <w:t>Input_tax_credit_noneu_imp</w:t>
      </w:r>
      <w:proofErr w:type="spellEnd"/>
      <w:r>
        <w:rPr>
          <w:rFonts w:eastAsiaTheme="minorEastAsia"/>
        </w:rPr>
        <w:t xml:space="preserve"> </w:t>
      </w:r>
      <w:r w:rsidR="00980815">
        <w:rPr>
          <w:rFonts w:eastAsiaTheme="minorEastAsia"/>
        </w:rPr>
        <w:t>–</w:t>
      </w:r>
      <w:r>
        <w:rPr>
          <w:rFonts w:eastAsiaTheme="minorEastAsia"/>
        </w:rPr>
        <w:t xml:space="preserve"> </w:t>
      </w:r>
      <w:r w:rsidR="00980815">
        <w:rPr>
          <w:rFonts w:eastAsiaTheme="minorEastAsia"/>
        </w:rPr>
        <w:t xml:space="preserve">This worksheet calculates the tax on the imports from non-EU jurisdictions using the data from the worksheet </w:t>
      </w:r>
      <w:proofErr w:type="spellStart"/>
      <w:r w:rsidR="00980815">
        <w:rPr>
          <w:rFonts w:eastAsiaTheme="minorEastAsia"/>
        </w:rPr>
        <w:t>imports_noneu_alloc</w:t>
      </w:r>
      <w:proofErr w:type="spellEnd"/>
      <w:r w:rsidR="00980815">
        <w:rPr>
          <w:rFonts w:eastAsiaTheme="minorEastAsia"/>
        </w:rPr>
        <w:t xml:space="preserve"> and the tax rates from the worksheet </w:t>
      </w:r>
      <w:proofErr w:type="spellStart"/>
      <w:r w:rsidR="00980815">
        <w:rPr>
          <w:rFonts w:eastAsiaTheme="minorEastAsia"/>
        </w:rPr>
        <w:t>effective_tax_rates_table</w:t>
      </w:r>
      <w:proofErr w:type="spellEnd"/>
      <w:r w:rsidR="00980815">
        <w:rPr>
          <w:rFonts w:eastAsiaTheme="minorEastAsia"/>
        </w:rPr>
        <w:t>.</w:t>
      </w:r>
    </w:p>
    <w:p w14:paraId="050217E0" w14:textId="77777777" w:rsidR="00D91082" w:rsidRDefault="00D91082" w:rsidP="00980815">
      <w:pPr>
        <w:jc w:val="both"/>
        <w:rPr>
          <w:rFonts w:eastAsiaTheme="minorEastAsia"/>
        </w:rPr>
      </w:pPr>
    </w:p>
    <w:p w14:paraId="7A8A5740" w14:textId="0F888FD2" w:rsidR="009E6DBB" w:rsidRDefault="009E6DBB" w:rsidP="00980815">
      <w:pPr>
        <w:jc w:val="both"/>
        <w:rPr>
          <w:rFonts w:eastAsiaTheme="minorEastAsia"/>
        </w:rPr>
      </w:pPr>
      <w:proofErr w:type="spellStart"/>
      <w:r>
        <w:rPr>
          <w:rFonts w:eastAsiaTheme="minorEastAsia"/>
        </w:rPr>
        <w:t>input_tax_credit</w:t>
      </w:r>
      <w:proofErr w:type="spellEnd"/>
      <w:r>
        <w:rPr>
          <w:rFonts w:eastAsiaTheme="minorEastAsia"/>
        </w:rPr>
        <w:t xml:space="preserve"> – This worksheet calculates the input tax credit </w:t>
      </w:r>
      <w:bookmarkStart w:id="1" w:name="_Hlk525723291"/>
      <w:r>
        <w:rPr>
          <w:rFonts w:eastAsiaTheme="minorEastAsia"/>
        </w:rPr>
        <w:t>as shown in expression in</w:t>
      </w:r>
      <w:r w:rsidR="007C1AA3">
        <w:rPr>
          <w:rFonts w:eastAsiaTheme="minorEastAsia"/>
        </w:rPr>
        <w:t xml:space="preserve"> (5) </w:t>
      </w:r>
      <w:bookmarkEnd w:id="1"/>
      <w:r w:rsidR="007C1AA3">
        <w:rPr>
          <w:rFonts w:eastAsiaTheme="minorEastAsia"/>
        </w:rPr>
        <w:t xml:space="preserve">by </w:t>
      </w:r>
    </w:p>
    <w:p w14:paraId="478D1CFF" w14:textId="179A24A9" w:rsidR="005D71A2" w:rsidRDefault="005D71A2" w:rsidP="00671CC4">
      <w:pPr>
        <w:rPr>
          <w:rFonts w:eastAsiaTheme="minorEastAsia"/>
        </w:rPr>
      </w:pPr>
    </w:p>
    <w:p w14:paraId="0F7D28E3" w14:textId="29241DD9" w:rsidR="004B59FD" w:rsidRDefault="004B59FD" w:rsidP="004B59FD">
      <w:pPr>
        <w:jc w:val="both"/>
        <w:rPr>
          <w:rFonts w:eastAsiaTheme="minorEastAsia"/>
        </w:rPr>
      </w:pPr>
      <w:proofErr w:type="spellStart"/>
      <w:r>
        <w:rPr>
          <w:rFonts w:eastAsiaTheme="minorEastAsia"/>
        </w:rPr>
        <w:t>input_tax_credit_disallow</w:t>
      </w:r>
      <w:proofErr w:type="spellEnd"/>
      <w:r>
        <w:rPr>
          <w:rFonts w:eastAsiaTheme="minorEastAsia"/>
        </w:rPr>
        <w:t xml:space="preserve"> – This worksheet calculates the disallowance of the input tax credit. As per VAT, input tax credit is disallowed in the proportion of exempt output to total </w:t>
      </w:r>
      <w:r w:rsidR="000E32C7">
        <w:rPr>
          <w:rFonts w:eastAsiaTheme="minorEastAsia"/>
        </w:rPr>
        <w:t>output for the Industry</w:t>
      </w:r>
      <w:r>
        <w:rPr>
          <w:rFonts w:eastAsiaTheme="minorEastAsia"/>
        </w:rPr>
        <w:t>.</w:t>
      </w:r>
    </w:p>
    <w:p w14:paraId="545F44DB" w14:textId="65E157E7" w:rsidR="009422A9" w:rsidRDefault="009422A9" w:rsidP="004B59FD">
      <w:pPr>
        <w:jc w:val="both"/>
        <w:rPr>
          <w:rFonts w:eastAsiaTheme="minorEastAsia"/>
        </w:rPr>
      </w:pPr>
    </w:p>
    <w:p w14:paraId="10F62AAA" w14:textId="73939DB0" w:rsidR="009422A9" w:rsidRDefault="009422A9" w:rsidP="004B59FD">
      <w:pPr>
        <w:jc w:val="both"/>
        <w:rPr>
          <w:rFonts w:eastAsiaTheme="minorEastAsia"/>
        </w:rPr>
      </w:pPr>
      <w:proofErr w:type="spellStart"/>
      <w:r>
        <w:rPr>
          <w:rFonts w:eastAsiaTheme="minorEastAsia"/>
        </w:rPr>
        <w:t>import_vat</w:t>
      </w:r>
      <w:proofErr w:type="spellEnd"/>
      <w:r>
        <w:rPr>
          <w:rFonts w:eastAsiaTheme="minorEastAsia"/>
        </w:rPr>
        <w:t xml:space="preserve"> – This worksheet while not being used is estimated. This is because in this case VAT is not collect</w:t>
      </w:r>
      <w:r w:rsidR="000E0D65">
        <w:rPr>
          <w:rFonts w:eastAsiaTheme="minorEastAsia"/>
        </w:rPr>
        <w:t>ed</w:t>
      </w:r>
      <w:r>
        <w:rPr>
          <w:rFonts w:eastAsiaTheme="minorEastAsia"/>
        </w:rPr>
        <w:t xml:space="preserve"> on imports from EU countries.</w:t>
      </w:r>
      <w:r w:rsidR="000E0D65">
        <w:rPr>
          <w:rFonts w:eastAsiaTheme="minorEastAsia"/>
        </w:rPr>
        <w:t xml:space="preserve"> It estimated by using the worksheet given in </w:t>
      </w:r>
      <w:proofErr w:type="spellStart"/>
      <w:r w:rsidR="000E0D65">
        <w:rPr>
          <w:rFonts w:eastAsiaTheme="minorEastAsia"/>
        </w:rPr>
        <w:t>import_alloc</w:t>
      </w:r>
      <w:proofErr w:type="spellEnd"/>
      <w:r w:rsidR="000E0D65">
        <w:rPr>
          <w:rFonts w:eastAsiaTheme="minorEastAsia"/>
        </w:rPr>
        <w:t xml:space="preserve"> and the tax rates.</w:t>
      </w:r>
    </w:p>
    <w:p w14:paraId="01156BFE" w14:textId="77777777" w:rsidR="000E0D65" w:rsidRDefault="000E0D65" w:rsidP="004B59FD">
      <w:pPr>
        <w:jc w:val="both"/>
        <w:rPr>
          <w:rFonts w:eastAsiaTheme="minorEastAsia"/>
        </w:rPr>
      </w:pPr>
    </w:p>
    <w:p w14:paraId="2083CE42" w14:textId="7FBD413A" w:rsidR="000E0D65" w:rsidRDefault="000E0D65" w:rsidP="000E0D65">
      <w:pPr>
        <w:jc w:val="both"/>
        <w:rPr>
          <w:rFonts w:eastAsiaTheme="minorEastAsia"/>
        </w:rPr>
      </w:pPr>
      <w:proofErr w:type="spellStart"/>
      <w:r>
        <w:rPr>
          <w:rFonts w:eastAsiaTheme="minorEastAsia"/>
        </w:rPr>
        <w:t>import_vat_eu</w:t>
      </w:r>
      <w:proofErr w:type="spellEnd"/>
      <w:r>
        <w:rPr>
          <w:rFonts w:eastAsiaTheme="minorEastAsia"/>
        </w:rPr>
        <w:t xml:space="preserve"> – This worksheet while not being used is estimated. This is because in this case VAT is not collected on imports from EU countries. It estimated by using the worksheet given in </w:t>
      </w:r>
      <w:proofErr w:type="spellStart"/>
      <w:r>
        <w:rPr>
          <w:rFonts w:eastAsiaTheme="minorEastAsia"/>
        </w:rPr>
        <w:t>import_eu_alloc</w:t>
      </w:r>
      <w:proofErr w:type="spellEnd"/>
      <w:r>
        <w:rPr>
          <w:rFonts w:eastAsiaTheme="minorEastAsia"/>
        </w:rPr>
        <w:t xml:space="preserve"> and the tax rates.</w:t>
      </w:r>
    </w:p>
    <w:p w14:paraId="1A7C5698" w14:textId="10FFCDEF" w:rsidR="009B2903" w:rsidRDefault="009B2903" w:rsidP="000E0D65">
      <w:pPr>
        <w:jc w:val="both"/>
        <w:rPr>
          <w:rFonts w:eastAsiaTheme="minorEastAsia"/>
        </w:rPr>
      </w:pPr>
    </w:p>
    <w:p w14:paraId="55A0E339" w14:textId="099B0F9A" w:rsidR="009B2903" w:rsidRDefault="009B2903" w:rsidP="009B2903">
      <w:pPr>
        <w:jc w:val="both"/>
        <w:rPr>
          <w:rFonts w:eastAsiaTheme="minorEastAsia"/>
        </w:rPr>
      </w:pPr>
      <w:proofErr w:type="spellStart"/>
      <w:r>
        <w:rPr>
          <w:rFonts w:eastAsiaTheme="minorEastAsia"/>
        </w:rPr>
        <w:t>import_vat_noneu</w:t>
      </w:r>
      <w:proofErr w:type="spellEnd"/>
      <w:r>
        <w:rPr>
          <w:rFonts w:eastAsiaTheme="minorEastAsia"/>
        </w:rPr>
        <w:t xml:space="preserve"> – This worksheet calculates the VAT on imports from non-EU countries and is estimated by using the worksheet given in </w:t>
      </w:r>
      <w:proofErr w:type="spellStart"/>
      <w:r>
        <w:rPr>
          <w:rFonts w:eastAsiaTheme="minorEastAsia"/>
        </w:rPr>
        <w:t>import_</w:t>
      </w:r>
      <w:r w:rsidR="00EC13A5">
        <w:rPr>
          <w:rFonts w:eastAsiaTheme="minorEastAsia"/>
        </w:rPr>
        <w:t>non</w:t>
      </w:r>
      <w:r>
        <w:rPr>
          <w:rFonts w:eastAsiaTheme="minorEastAsia"/>
        </w:rPr>
        <w:t>eu_alloc</w:t>
      </w:r>
      <w:proofErr w:type="spellEnd"/>
      <w:r>
        <w:rPr>
          <w:rFonts w:eastAsiaTheme="minorEastAsia"/>
        </w:rPr>
        <w:t xml:space="preserve"> and the tax rates.</w:t>
      </w:r>
    </w:p>
    <w:p w14:paraId="1CB24477" w14:textId="3C5AA2C6" w:rsidR="008218D3" w:rsidRDefault="008218D3" w:rsidP="009B2903">
      <w:pPr>
        <w:jc w:val="both"/>
        <w:rPr>
          <w:rFonts w:eastAsiaTheme="minorEastAsia"/>
        </w:rPr>
      </w:pPr>
    </w:p>
    <w:p w14:paraId="7C235AD2" w14:textId="48C01AAE" w:rsidR="00D91082" w:rsidRDefault="00D91082" w:rsidP="009B2903">
      <w:pPr>
        <w:jc w:val="both"/>
        <w:rPr>
          <w:rFonts w:eastAsiaTheme="minorEastAsia"/>
        </w:rPr>
      </w:pPr>
      <w:proofErr w:type="spellStart"/>
      <w:r>
        <w:rPr>
          <w:rFonts w:eastAsiaTheme="minorEastAsia"/>
        </w:rPr>
        <w:t>sector_mapping</w:t>
      </w:r>
      <w:proofErr w:type="spellEnd"/>
      <w:r>
        <w:rPr>
          <w:rFonts w:eastAsiaTheme="minorEastAsia"/>
        </w:rPr>
        <w:t xml:space="preserve"> – Mapping the 65 sectors into fewer consolidated sectors.</w:t>
      </w:r>
    </w:p>
    <w:p w14:paraId="0CCC5730" w14:textId="163974FA" w:rsidR="00D91082" w:rsidRDefault="00D91082" w:rsidP="009B2903">
      <w:pPr>
        <w:jc w:val="both"/>
        <w:rPr>
          <w:rFonts w:eastAsiaTheme="minorEastAsia"/>
        </w:rPr>
      </w:pPr>
    </w:p>
    <w:p w14:paraId="35495890" w14:textId="6EE476A5" w:rsidR="00D91082" w:rsidRDefault="00D91082" w:rsidP="009B2903">
      <w:pPr>
        <w:jc w:val="both"/>
        <w:rPr>
          <w:rFonts w:eastAsiaTheme="minorEastAsia"/>
        </w:rPr>
      </w:pPr>
      <w:proofErr w:type="spellStart"/>
      <w:r>
        <w:rPr>
          <w:rFonts w:eastAsiaTheme="minorEastAsia"/>
        </w:rPr>
        <w:t>potential_value_added</w:t>
      </w:r>
      <w:proofErr w:type="spellEnd"/>
      <w:r>
        <w:rPr>
          <w:rFonts w:eastAsiaTheme="minorEastAsia"/>
        </w:rPr>
        <w:t xml:space="preserve"> – This worksheet shows all the components of the Value Added by sector which is picked up from the many worksheets</w:t>
      </w:r>
    </w:p>
    <w:p w14:paraId="6019A27D" w14:textId="527B7026" w:rsidR="00D91082" w:rsidRDefault="00D91082" w:rsidP="009B2903">
      <w:pPr>
        <w:jc w:val="both"/>
        <w:rPr>
          <w:rFonts w:eastAsiaTheme="minorEastAsia"/>
        </w:rPr>
      </w:pPr>
    </w:p>
    <w:p w14:paraId="648A3A5E" w14:textId="630DE32C" w:rsidR="00D91082" w:rsidRDefault="00D91082" w:rsidP="009B2903">
      <w:pPr>
        <w:jc w:val="both"/>
        <w:rPr>
          <w:rFonts w:eastAsiaTheme="minorEastAsia"/>
        </w:rPr>
      </w:pPr>
      <w:proofErr w:type="spellStart"/>
      <w:r>
        <w:rPr>
          <w:rFonts w:eastAsiaTheme="minorEastAsia"/>
        </w:rPr>
        <w:t>pot_value_added_trans</w:t>
      </w:r>
      <w:proofErr w:type="spellEnd"/>
      <w:r>
        <w:rPr>
          <w:rFonts w:eastAsiaTheme="minorEastAsia"/>
        </w:rPr>
        <w:t xml:space="preserve"> – The transpose of the </w:t>
      </w:r>
      <w:proofErr w:type="spellStart"/>
      <w:r>
        <w:rPr>
          <w:rFonts w:eastAsiaTheme="minorEastAsia"/>
        </w:rPr>
        <w:t>potential_value_added</w:t>
      </w:r>
      <w:proofErr w:type="spellEnd"/>
      <w:r>
        <w:rPr>
          <w:rFonts w:eastAsiaTheme="minorEastAsia"/>
        </w:rPr>
        <w:t xml:space="preserve"> worksheet for preparing the pivot charts</w:t>
      </w:r>
    </w:p>
    <w:p w14:paraId="26D0F770" w14:textId="0956055B" w:rsidR="00D91082" w:rsidRDefault="00D91082" w:rsidP="009B2903">
      <w:pPr>
        <w:jc w:val="both"/>
        <w:rPr>
          <w:rFonts w:eastAsiaTheme="minorEastAsia"/>
        </w:rPr>
      </w:pPr>
      <w:proofErr w:type="spellStart"/>
      <w:r>
        <w:rPr>
          <w:rFonts w:eastAsiaTheme="minorEastAsia"/>
        </w:rPr>
        <w:t>pot_value_added_pivot</w:t>
      </w:r>
      <w:proofErr w:type="spellEnd"/>
      <w:r>
        <w:rPr>
          <w:rFonts w:eastAsiaTheme="minorEastAsia"/>
        </w:rPr>
        <w:t xml:space="preserve"> – The summary in the form of a pivot table of the value added.</w:t>
      </w:r>
    </w:p>
    <w:p w14:paraId="64C47F25" w14:textId="55F7308B" w:rsidR="00D91082" w:rsidRDefault="00D91082" w:rsidP="009B2903">
      <w:pPr>
        <w:jc w:val="both"/>
        <w:rPr>
          <w:rFonts w:eastAsiaTheme="minorEastAsia"/>
        </w:rPr>
      </w:pPr>
    </w:p>
    <w:p w14:paraId="070E387D" w14:textId="0897EE0E" w:rsidR="00D91082" w:rsidRDefault="00D91082" w:rsidP="009B2903">
      <w:pPr>
        <w:jc w:val="both"/>
        <w:rPr>
          <w:rFonts w:eastAsiaTheme="minorEastAsia"/>
        </w:rPr>
      </w:pPr>
      <w:proofErr w:type="spellStart"/>
      <w:r>
        <w:rPr>
          <w:rFonts w:eastAsiaTheme="minorEastAsia"/>
        </w:rPr>
        <w:t>pot_value_added_chart</w:t>
      </w:r>
      <w:proofErr w:type="spellEnd"/>
      <w:r>
        <w:rPr>
          <w:rFonts w:eastAsiaTheme="minorEastAsia"/>
        </w:rPr>
        <w:t xml:space="preserve"> – A copy of the </w:t>
      </w:r>
      <w:proofErr w:type="spellStart"/>
      <w:r>
        <w:rPr>
          <w:rFonts w:eastAsiaTheme="minorEastAsia"/>
        </w:rPr>
        <w:t>pot_value_added_pivot</w:t>
      </w:r>
      <w:proofErr w:type="spellEnd"/>
      <w:r>
        <w:rPr>
          <w:rFonts w:eastAsiaTheme="minorEastAsia"/>
        </w:rPr>
        <w:t xml:space="preserve"> worksheet that allows the summary as well as making of charts</w:t>
      </w:r>
      <w:r w:rsidR="00296C5D">
        <w:rPr>
          <w:rFonts w:eastAsiaTheme="minorEastAsia"/>
        </w:rPr>
        <w:t>.</w:t>
      </w:r>
    </w:p>
    <w:p w14:paraId="6B7C1194" w14:textId="65FF71D7" w:rsidR="00D91082" w:rsidRDefault="00D91082" w:rsidP="009B2903">
      <w:pPr>
        <w:jc w:val="both"/>
        <w:rPr>
          <w:rFonts w:eastAsiaTheme="minorEastAsia"/>
        </w:rPr>
      </w:pPr>
    </w:p>
    <w:p w14:paraId="0F9853A0" w14:textId="77777777" w:rsidR="00D44DFF" w:rsidRDefault="00B4270C" w:rsidP="009B2903">
      <w:pPr>
        <w:jc w:val="both"/>
        <w:rPr>
          <w:rFonts w:eastAsiaTheme="minorEastAsia"/>
        </w:rPr>
      </w:pPr>
      <w:proofErr w:type="spellStart"/>
      <w:r>
        <w:rPr>
          <w:rFonts w:eastAsiaTheme="minorEastAsia"/>
        </w:rPr>
        <w:t>potential_vat</w:t>
      </w:r>
      <w:proofErr w:type="spellEnd"/>
      <w:r>
        <w:rPr>
          <w:rFonts w:eastAsiaTheme="minorEastAsia"/>
        </w:rPr>
        <w:t xml:space="preserve"> – This worksheet calculates the potential VAT based on (1) and the base shown in (3).</w:t>
      </w:r>
      <w:r w:rsidR="00D44DFF">
        <w:rPr>
          <w:rFonts w:eastAsiaTheme="minorEastAsia"/>
        </w:rPr>
        <w:t xml:space="preserve"> It includes </w:t>
      </w:r>
    </w:p>
    <w:p w14:paraId="6B47588A" w14:textId="3C2222FA" w:rsidR="00D44DFF" w:rsidRDefault="00D44DFF" w:rsidP="00D44DFF">
      <w:pPr>
        <w:pStyle w:val="ListParagraph"/>
        <w:numPr>
          <w:ilvl w:val="0"/>
          <w:numId w:val="4"/>
        </w:numPr>
        <w:jc w:val="both"/>
        <w:rPr>
          <w:rFonts w:eastAsiaTheme="minorEastAsia"/>
        </w:rPr>
      </w:pPr>
      <w:r>
        <w:rPr>
          <w:rFonts w:eastAsiaTheme="minorEastAsia"/>
        </w:rPr>
        <w:t>T</w:t>
      </w:r>
      <w:r w:rsidRPr="00D44DFF">
        <w:rPr>
          <w:rFonts w:eastAsiaTheme="minorEastAsia"/>
        </w:rPr>
        <w:t xml:space="preserve">he taxes on output </w:t>
      </w:r>
      <w:r>
        <w:rPr>
          <w:rFonts w:eastAsiaTheme="minorEastAsia"/>
        </w:rPr>
        <w:t>from which the tax on reverse charge is subtracted</w:t>
      </w:r>
    </w:p>
    <w:p w14:paraId="4BE7E6B2" w14:textId="1B18D83C" w:rsidR="00D44DFF" w:rsidRDefault="00D44DFF" w:rsidP="00D44DFF">
      <w:pPr>
        <w:pStyle w:val="ListParagraph"/>
        <w:numPr>
          <w:ilvl w:val="0"/>
          <w:numId w:val="4"/>
        </w:numPr>
        <w:jc w:val="both"/>
        <w:rPr>
          <w:rFonts w:eastAsiaTheme="minorEastAsia"/>
        </w:rPr>
      </w:pPr>
      <w:r>
        <w:rPr>
          <w:rFonts w:eastAsiaTheme="minorEastAsia"/>
        </w:rPr>
        <w:t>The net Output tax is then adjusted for those who are VAT Registered</w:t>
      </w:r>
    </w:p>
    <w:p w14:paraId="232C4573" w14:textId="130E69A4" w:rsidR="00D44DFF" w:rsidRDefault="00DF05A1" w:rsidP="00D44DFF">
      <w:pPr>
        <w:pStyle w:val="ListParagraph"/>
        <w:numPr>
          <w:ilvl w:val="0"/>
          <w:numId w:val="4"/>
        </w:numPr>
        <w:jc w:val="both"/>
        <w:rPr>
          <w:rFonts w:eastAsiaTheme="minorEastAsia"/>
        </w:rPr>
      </w:pPr>
      <w:r>
        <w:rPr>
          <w:rFonts w:eastAsiaTheme="minorEastAsia"/>
        </w:rPr>
        <w:t>Input Tax Credit on taxes paid on</w:t>
      </w:r>
      <w:r w:rsidR="00D44DFF">
        <w:rPr>
          <w:rFonts w:eastAsiaTheme="minorEastAsia"/>
        </w:rPr>
        <w:t xml:space="preserve"> domestic purchases</w:t>
      </w:r>
    </w:p>
    <w:p w14:paraId="75DBE1F6" w14:textId="0AC68976" w:rsidR="00DF05A1" w:rsidRDefault="00DF05A1" w:rsidP="00D44DFF">
      <w:pPr>
        <w:pStyle w:val="ListParagraph"/>
        <w:numPr>
          <w:ilvl w:val="0"/>
          <w:numId w:val="4"/>
        </w:numPr>
        <w:jc w:val="both"/>
        <w:rPr>
          <w:rFonts w:eastAsiaTheme="minorEastAsia"/>
        </w:rPr>
      </w:pPr>
      <w:r w:rsidRPr="00DF05A1">
        <w:rPr>
          <w:rFonts w:eastAsiaTheme="minorEastAsia"/>
        </w:rPr>
        <w:t xml:space="preserve">Input Tax Credit </w:t>
      </w:r>
      <w:r>
        <w:rPr>
          <w:rFonts w:eastAsiaTheme="minorEastAsia"/>
        </w:rPr>
        <w:t>on taxes paid on imports non-</w:t>
      </w:r>
      <w:r w:rsidRPr="00DF05A1">
        <w:rPr>
          <w:rFonts w:eastAsiaTheme="minorEastAsia"/>
        </w:rPr>
        <w:t>EU</w:t>
      </w:r>
      <w:r>
        <w:rPr>
          <w:rFonts w:eastAsiaTheme="minorEastAsia"/>
        </w:rPr>
        <w:t xml:space="preserve"> countries</w:t>
      </w:r>
    </w:p>
    <w:p w14:paraId="7D9417C1" w14:textId="4D7F0F59" w:rsidR="00DF05A1" w:rsidRDefault="00DF05A1" w:rsidP="00D44DFF">
      <w:pPr>
        <w:pStyle w:val="ListParagraph"/>
        <w:numPr>
          <w:ilvl w:val="0"/>
          <w:numId w:val="4"/>
        </w:numPr>
        <w:jc w:val="both"/>
        <w:rPr>
          <w:rFonts w:eastAsiaTheme="minorEastAsia"/>
        </w:rPr>
      </w:pPr>
      <w:r>
        <w:rPr>
          <w:rFonts w:eastAsiaTheme="minorEastAsia"/>
        </w:rPr>
        <w:t>Input Tax Credit disallowance based on the extent of exempt outputs</w:t>
      </w:r>
      <w:r w:rsidR="00BE2526">
        <w:rPr>
          <w:rFonts w:eastAsiaTheme="minorEastAsia"/>
        </w:rPr>
        <w:t xml:space="preserve"> to total output</w:t>
      </w:r>
    </w:p>
    <w:p w14:paraId="31586075" w14:textId="11E07267" w:rsidR="00BE2526" w:rsidRDefault="00BE2526" w:rsidP="00BE2526">
      <w:pPr>
        <w:pStyle w:val="ListParagraph"/>
        <w:numPr>
          <w:ilvl w:val="0"/>
          <w:numId w:val="4"/>
        </w:numPr>
        <w:jc w:val="both"/>
        <w:rPr>
          <w:rFonts w:eastAsiaTheme="minorEastAsia"/>
        </w:rPr>
      </w:pPr>
      <w:r>
        <w:rPr>
          <w:rFonts w:eastAsiaTheme="minorEastAsia"/>
        </w:rPr>
        <w:t>The Input Tax Credit tax is then adjusted for those who are VAT Registered</w:t>
      </w:r>
    </w:p>
    <w:p w14:paraId="56D62007" w14:textId="6FED586D" w:rsidR="00DF05A1" w:rsidRDefault="00BE2526" w:rsidP="00D44DFF">
      <w:pPr>
        <w:pStyle w:val="ListParagraph"/>
        <w:numPr>
          <w:ilvl w:val="0"/>
          <w:numId w:val="4"/>
        </w:numPr>
        <w:jc w:val="both"/>
        <w:rPr>
          <w:rFonts w:eastAsiaTheme="minorEastAsia"/>
        </w:rPr>
      </w:pPr>
      <w:r>
        <w:rPr>
          <w:rFonts w:eastAsiaTheme="minorEastAsia"/>
        </w:rPr>
        <w:t>The reverse charge that is collected by purchases is added</w:t>
      </w:r>
    </w:p>
    <w:p w14:paraId="0FD5450D" w14:textId="4C3EF5E9" w:rsidR="00BE2526" w:rsidRDefault="00BE2526" w:rsidP="00BE2526">
      <w:pPr>
        <w:pStyle w:val="ListParagraph"/>
        <w:numPr>
          <w:ilvl w:val="0"/>
          <w:numId w:val="4"/>
        </w:numPr>
        <w:jc w:val="both"/>
        <w:rPr>
          <w:rFonts w:eastAsiaTheme="minorEastAsia"/>
        </w:rPr>
      </w:pPr>
      <w:r>
        <w:rPr>
          <w:rFonts w:eastAsiaTheme="minorEastAsia"/>
        </w:rPr>
        <w:t>The reverse charge is then adjusted for those who are VAT Registered</w:t>
      </w:r>
    </w:p>
    <w:p w14:paraId="7F663A3D" w14:textId="4A76A225" w:rsidR="00BE2526" w:rsidRDefault="00BE2526" w:rsidP="00D44DFF">
      <w:pPr>
        <w:pStyle w:val="ListParagraph"/>
        <w:numPr>
          <w:ilvl w:val="0"/>
          <w:numId w:val="4"/>
        </w:numPr>
        <w:jc w:val="both"/>
        <w:rPr>
          <w:rFonts w:eastAsiaTheme="minorEastAsia"/>
        </w:rPr>
      </w:pPr>
      <w:r>
        <w:rPr>
          <w:rFonts w:eastAsiaTheme="minorEastAsia"/>
        </w:rPr>
        <w:t>The VAT collected on non-EU imports at the border are added</w:t>
      </w:r>
    </w:p>
    <w:p w14:paraId="026E1716" w14:textId="44E2410F" w:rsidR="00BE2526" w:rsidRDefault="00BE2526" w:rsidP="00BE2526">
      <w:pPr>
        <w:pStyle w:val="ListParagraph"/>
        <w:numPr>
          <w:ilvl w:val="0"/>
          <w:numId w:val="4"/>
        </w:numPr>
        <w:jc w:val="both"/>
        <w:rPr>
          <w:rFonts w:eastAsiaTheme="minorEastAsia"/>
        </w:rPr>
      </w:pPr>
      <w:r>
        <w:rPr>
          <w:rFonts w:eastAsiaTheme="minorEastAsia"/>
        </w:rPr>
        <w:t>The import VAT is then adjusted for those who are VAT Registered</w:t>
      </w:r>
    </w:p>
    <w:p w14:paraId="0D293F4D" w14:textId="1A4944AA" w:rsidR="00BE2526" w:rsidRDefault="00BE2526" w:rsidP="00D44DFF">
      <w:pPr>
        <w:pStyle w:val="ListParagraph"/>
        <w:numPr>
          <w:ilvl w:val="0"/>
          <w:numId w:val="4"/>
        </w:numPr>
        <w:jc w:val="both"/>
        <w:rPr>
          <w:rFonts w:eastAsiaTheme="minorEastAsia"/>
        </w:rPr>
      </w:pPr>
      <w:r>
        <w:rPr>
          <w:rFonts w:eastAsiaTheme="minorEastAsia"/>
        </w:rPr>
        <w:t>The potential VAT is calculated from the Output Tax less the input Tax Credit plus the reverse charge on purchases and import VAT collected</w:t>
      </w:r>
    </w:p>
    <w:p w14:paraId="07DBFB8A" w14:textId="263AF548" w:rsidR="00C714F8" w:rsidRDefault="00C714F8" w:rsidP="00D44DFF">
      <w:pPr>
        <w:pStyle w:val="ListParagraph"/>
        <w:numPr>
          <w:ilvl w:val="0"/>
          <w:numId w:val="4"/>
        </w:numPr>
        <w:jc w:val="both"/>
        <w:rPr>
          <w:rFonts w:eastAsiaTheme="minorEastAsia"/>
        </w:rPr>
      </w:pPr>
      <w:r>
        <w:rPr>
          <w:rFonts w:eastAsiaTheme="minorEastAsia"/>
        </w:rPr>
        <w:t xml:space="preserve">The VAT Gap is calculated as the difference between the Potential VAT and the VAT Revenues </w:t>
      </w:r>
    </w:p>
    <w:p w14:paraId="3EE09E1A" w14:textId="127AA295" w:rsidR="00FE74BF" w:rsidRDefault="00FE74BF" w:rsidP="00FE74BF">
      <w:pPr>
        <w:jc w:val="both"/>
        <w:rPr>
          <w:rFonts w:eastAsiaTheme="minorEastAsia"/>
        </w:rPr>
      </w:pPr>
    </w:p>
    <w:p w14:paraId="33D0FFAF" w14:textId="20204A2A" w:rsidR="00704DA5" w:rsidRDefault="00704DA5" w:rsidP="00704DA5">
      <w:pPr>
        <w:jc w:val="both"/>
        <w:rPr>
          <w:rFonts w:eastAsiaTheme="minorEastAsia"/>
        </w:rPr>
      </w:pPr>
      <w:proofErr w:type="spellStart"/>
      <w:r>
        <w:rPr>
          <w:rFonts w:eastAsiaTheme="minorEastAsia"/>
        </w:rPr>
        <w:t>pot</w:t>
      </w:r>
      <w:r>
        <w:rPr>
          <w:rFonts w:eastAsiaTheme="minorEastAsia"/>
        </w:rPr>
        <w:t>ential</w:t>
      </w:r>
      <w:r>
        <w:rPr>
          <w:rFonts w:eastAsiaTheme="minorEastAsia"/>
        </w:rPr>
        <w:t>_va</w:t>
      </w:r>
      <w:r>
        <w:rPr>
          <w:rFonts w:eastAsiaTheme="minorEastAsia"/>
        </w:rPr>
        <w:t>t</w:t>
      </w:r>
      <w:r>
        <w:rPr>
          <w:rFonts w:eastAsiaTheme="minorEastAsia"/>
        </w:rPr>
        <w:t>_trans</w:t>
      </w:r>
      <w:proofErr w:type="spellEnd"/>
      <w:r>
        <w:rPr>
          <w:rFonts w:eastAsiaTheme="minorEastAsia"/>
        </w:rPr>
        <w:t xml:space="preserve"> – The transpose of the </w:t>
      </w:r>
      <w:proofErr w:type="spellStart"/>
      <w:r>
        <w:rPr>
          <w:rFonts w:eastAsiaTheme="minorEastAsia"/>
        </w:rPr>
        <w:t>potential_value_added</w:t>
      </w:r>
      <w:proofErr w:type="spellEnd"/>
      <w:r>
        <w:rPr>
          <w:rFonts w:eastAsiaTheme="minorEastAsia"/>
        </w:rPr>
        <w:t xml:space="preserve"> worksheet for preparing the pivot charts</w:t>
      </w:r>
    </w:p>
    <w:p w14:paraId="73EDAE9F" w14:textId="7D022780" w:rsidR="00704DA5" w:rsidRDefault="00704DA5" w:rsidP="00704DA5">
      <w:pPr>
        <w:jc w:val="both"/>
        <w:rPr>
          <w:rFonts w:eastAsiaTheme="minorEastAsia"/>
        </w:rPr>
      </w:pPr>
      <w:proofErr w:type="spellStart"/>
      <w:r>
        <w:rPr>
          <w:rFonts w:eastAsiaTheme="minorEastAsia"/>
        </w:rPr>
        <w:t>pot</w:t>
      </w:r>
      <w:r>
        <w:rPr>
          <w:rFonts w:eastAsiaTheme="minorEastAsia"/>
        </w:rPr>
        <w:t>ential</w:t>
      </w:r>
      <w:r>
        <w:rPr>
          <w:rFonts w:eastAsiaTheme="minorEastAsia"/>
        </w:rPr>
        <w:t>_va</w:t>
      </w:r>
      <w:r>
        <w:rPr>
          <w:rFonts w:eastAsiaTheme="minorEastAsia"/>
        </w:rPr>
        <w:t>t</w:t>
      </w:r>
      <w:r>
        <w:rPr>
          <w:rFonts w:eastAsiaTheme="minorEastAsia"/>
        </w:rPr>
        <w:t>_pivot</w:t>
      </w:r>
      <w:proofErr w:type="spellEnd"/>
      <w:r>
        <w:rPr>
          <w:rFonts w:eastAsiaTheme="minorEastAsia"/>
        </w:rPr>
        <w:t xml:space="preserve"> – The summary</w:t>
      </w:r>
      <w:r>
        <w:rPr>
          <w:rFonts w:eastAsiaTheme="minorEastAsia"/>
        </w:rPr>
        <w:t xml:space="preserve"> of the </w:t>
      </w:r>
      <w:proofErr w:type="spellStart"/>
      <w:r>
        <w:rPr>
          <w:rFonts w:eastAsiaTheme="minorEastAsia"/>
        </w:rPr>
        <w:t>potential_vat_trans</w:t>
      </w:r>
      <w:proofErr w:type="spellEnd"/>
      <w:r>
        <w:rPr>
          <w:rFonts w:eastAsiaTheme="minorEastAsia"/>
        </w:rPr>
        <w:t xml:space="preserve"> worksheet</w:t>
      </w:r>
      <w:r>
        <w:rPr>
          <w:rFonts w:eastAsiaTheme="minorEastAsia"/>
        </w:rPr>
        <w:t xml:space="preserve"> in the form of a pivot table.</w:t>
      </w:r>
    </w:p>
    <w:p w14:paraId="0050F6A3" w14:textId="77777777" w:rsidR="00704DA5" w:rsidRDefault="00704DA5" w:rsidP="00704DA5">
      <w:pPr>
        <w:jc w:val="both"/>
        <w:rPr>
          <w:rFonts w:eastAsiaTheme="minorEastAsia"/>
        </w:rPr>
      </w:pPr>
    </w:p>
    <w:p w14:paraId="3D127BD8" w14:textId="27A0262C" w:rsidR="00704DA5" w:rsidRDefault="00704DA5" w:rsidP="00704DA5">
      <w:pPr>
        <w:jc w:val="both"/>
        <w:rPr>
          <w:rFonts w:eastAsiaTheme="minorEastAsia"/>
        </w:rPr>
      </w:pPr>
      <w:proofErr w:type="spellStart"/>
      <w:r>
        <w:rPr>
          <w:rFonts w:eastAsiaTheme="minorEastAsia"/>
        </w:rPr>
        <w:t>pot</w:t>
      </w:r>
      <w:r>
        <w:rPr>
          <w:rFonts w:eastAsiaTheme="minorEastAsia"/>
        </w:rPr>
        <w:t>ential</w:t>
      </w:r>
      <w:r>
        <w:rPr>
          <w:rFonts w:eastAsiaTheme="minorEastAsia"/>
        </w:rPr>
        <w:t>_va</w:t>
      </w:r>
      <w:r>
        <w:rPr>
          <w:rFonts w:eastAsiaTheme="minorEastAsia"/>
        </w:rPr>
        <w:t>t_incl_trade</w:t>
      </w:r>
      <w:proofErr w:type="spellEnd"/>
      <w:r>
        <w:rPr>
          <w:rFonts w:eastAsiaTheme="minorEastAsia"/>
        </w:rPr>
        <w:t xml:space="preserve"> – A copy of the </w:t>
      </w:r>
      <w:proofErr w:type="spellStart"/>
      <w:r>
        <w:rPr>
          <w:rFonts w:eastAsiaTheme="minorEastAsia"/>
        </w:rPr>
        <w:t>pot_value_added_pivot</w:t>
      </w:r>
      <w:proofErr w:type="spellEnd"/>
      <w:r>
        <w:rPr>
          <w:rFonts w:eastAsiaTheme="minorEastAsia"/>
        </w:rPr>
        <w:t xml:space="preserve"> worksheet that allows the summary as well as making of charts.</w:t>
      </w:r>
      <w:r>
        <w:rPr>
          <w:rFonts w:eastAsiaTheme="minorEastAsia"/>
        </w:rPr>
        <w:t xml:space="preserve"> In this chart we include the VAT on final consumption</w:t>
      </w:r>
      <w:r w:rsidR="00D064A5">
        <w:rPr>
          <w:rFonts w:eastAsiaTheme="minorEastAsia"/>
        </w:rPr>
        <w:t xml:space="preserve"> that is included in the Trade sector</w:t>
      </w:r>
      <w:r>
        <w:rPr>
          <w:rFonts w:eastAsiaTheme="minorEastAsia"/>
        </w:rPr>
        <w:t xml:space="preserve"> that is calculated</w:t>
      </w:r>
      <w:r w:rsidR="00D064A5">
        <w:rPr>
          <w:rFonts w:eastAsiaTheme="minorEastAsia"/>
        </w:rPr>
        <w:t xml:space="preserve"> using the wo</w:t>
      </w:r>
      <w:r>
        <w:rPr>
          <w:rFonts w:eastAsiaTheme="minorEastAsia"/>
        </w:rPr>
        <w:t xml:space="preserve">rksheet </w:t>
      </w:r>
      <w:proofErr w:type="spellStart"/>
      <w:r w:rsidR="00D064A5">
        <w:rPr>
          <w:rFonts w:eastAsiaTheme="minorEastAsia"/>
        </w:rPr>
        <w:t>imported_final_cons</w:t>
      </w:r>
      <w:proofErr w:type="spellEnd"/>
      <w:r w:rsidR="008630EB">
        <w:rPr>
          <w:rFonts w:eastAsiaTheme="minorEastAsia"/>
        </w:rPr>
        <w:t xml:space="preserve"> (see Note below)</w:t>
      </w:r>
      <w:r w:rsidR="00D064A5">
        <w:rPr>
          <w:rFonts w:eastAsiaTheme="minorEastAsia"/>
        </w:rPr>
        <w:t xml:space="preserve">. </w:t>
      </w:r>
    </w:p>
    <w:p w14:paraId="05BBE31B" w14:textId="77777777" w:rsidR="00704DA5" w:rsidRDefault="00704DA5" w:rsidP="00FE74BF">
      <w:pPr>
        <w:jc w:val="both"/>
        <w:rPr>
          <w:rFonts w:eastAsiaTheme="minorEastAsia"/>
        </w:rPr>
      </w:pPr>
    </w:p>
    <w:p w14:paraId="709A1EC6" w14:textId="4BEF8D83" w:rsidR="00FE74BF" w:rsidRDefault="00FE74BF" w:rsidP="00FE74BF">
      <w:pPr>
        <w:jc w:val="both"/>
        <w:rPr>
          <w:rFonts w:eastAsiaTheme="minorEastAsia"/>
        </w:rPr>
      </w:pPr>
      <w:r w:rsidRPr="00FE74BF">
        <w:rPr>
          <w:rFonts w:eastAsiaTheme="minorEastAsia"/>
          <w:b/>
        </w:rPr>
        <w:t>Important Note</w:t>
      </w:r>
      <w:r w:rsidR="004852F8">
        <w:rPr>
          <w:rFonts w:eastAsiaTheme="minorEastAsia"/>
          <w:b/>
        </w:rPr>
        <w:t xml:space="preserve"> regarding the Trade Sector</w:t>
      </w:r>
      <w:r w:rsidRPr="00FE74BF">
        <w:rPr>
          <w:rFonts w:eastAsiaTheme="minorEastAsia"/>
          <w:b/>
        </w:rPr>
        <w:t>:</w:t>
      </w:r>
      <w:r w:rsidR="004852F8">
        <w:rPr>
          <w:rFonts w:eastAsiaTheme="minorEastAsia"/>
        </w:rPr>
        <w:t xml:space="preserve"> The potential VAT from the Trade Sector (Wholesale and Retail) cannot be estimated in the same manner as the other sectors. This is because the Supply Use Table considers these sectors as “pass through” with respect to all commodities acquired for resale. The Supply Use Table records only the margin on the resales in the supply table which also includes the “service” component that is embedded in the margin. The Use table records all the inputs for running the business. While in theory this could still allow us to arrive at the correct VAT to be collected form this sector problems arise on the treatment of imports. Imports are recorded by the industry that eventually uses the commodity even if it is the Trade Sector that has imported the commodity. </w:t>
      </w:r>
      <w:r w:rsidR="00EC463F">
        <w:rPr>
          <w:rFonts w:eastAsiaTheme="minorEastAsia"/>
        </w:rPr>
        <w:t>Hence the allocation of Imports used in the estimation above needs to be changed to correctly record them as being made by the trade sector. Similarly, taxes on imports by the trade sector that are eventually supplied to final consumers are shown as being directly sourced to final consumers, hence we need to allocate final consumption to the trade sector to account of this.</w:t>
      </w:r>
      <w:r w:rsidR="003E15B6">
        <w:rPr>
          <w:rFonts w:eastAsiaTheme="minorEastAsia"/>
        </w:rPr>
        <w:t xml:space="preserve"> These adjustments </w:t>
      </w:r>
      <w:r w:rsidR="008630EB">
        <w:rPr>
          <w:rFonts w:eastAsiaTheme="minorEastAsia"/>
        </w:rPr>
        <w:t xml:space="preserve">can be further calibrated using </w:t>
      </w:r>
      <w:r w:rsidR="003E15B6">
        <w:rPr>
          <w:rFonts w:eastAsiaTheme="minorEastAsia"/>
        </w:rPr>
        <w:t>additional data and going back to tax records for calibrating the model.</w:t>
      </w:r>
      <w:r w:rsidR="00823F1A">
        <w:rPr>
          <w:rFonts w:eastAsiaTheme="minorEastAsia"/>
        </w:rPr>
        <w:t xml:space="preserve"> </w:t>
      </w:r>
      <w:bookmarkStart w:id="2" w:name="_GoBack"/>
      <w:bookmarkEnd w:id="2"/>
    </w:p>
    <w:p w14:paraId="7E708C39" w14:textId="3EC070BA" w:rsidR="00EC463F" w:rsidRDefault="00EC463F" w:rsidP="00FE74BF">
      <w:pPr>
        <w:jc w:val="both"/>
        <w:rPr>
          <w:rFonts w:eastAsiaTheme="minorEastAsia"/>
        </w:rPr>
      </w:pPr>
    </w:p>
    <w:p w14:paraId="77B15985" w14:textId="77777777" w:rsidR="00EC463F" w:rsidRPr="004852F8" w:rsidRDefault="00EC463F" w:rsidP="00FE74BF">
      <w:pPr>
        <w:jc w:val="both"/>
        <w:rPr>
          <w:rFonts w:eastAsiaTheme="minorEastAsia"/>
        </w:rPr>
      </w:pPr>
    </w:p>
    <w:sectPr w:rsidR="00EC463F" w:rsidRPr="004852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B82051" w14:textId="77777777" w:rsidR="00D91082" w:rsidRDefault="00D91082" w:rsidP="000B2F0D">
      <w:pPr>
        <w:spacing w:after="0" w:line="240" w:lineRule="auto"/>
      </w:pPr>
      <w:r>
        <w:separator/>
      </w:r>
    </w:p>
  </w:endnote>
  <w:endnote w:type="continuationSeparator" w:id="0">
    <w:p w14:paraId="19061304" w14:textId="77777777" w:rsidR="00D91082" w:rsidRDefault="00D91082" w:rsidP="000B2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39904E" w14:textId="77777777" w:rsidR="00D91082" w:rsidRDefault="00D91082" w:rsidP="000B2F0D">
      <w:pPr>
        <w:spacing w:after="0" w:line="240" w:lineRule="auto"/>
      </w:pPr>
      <w:r>
        <w:separator/>
      </w:r>
    </w:p>
  </w:footnote>
  <w:footnote w:type="continuationSeparator" w:id="0">
    <w:p w14:paraId="47A2DCED" w14:textId="77777777" w:rsidR="00D91082" w:rsidRDefault="00D91082" w:rsidP="000B2F0D">
      <w:pPr>
        <w:spacing w:after="0" w:line="240" w:lineRule="auto"/>
      </w:pPr>
      <w:r>
        <w:continuationSeparator/>
      </w:r>
    </w:p>
  </w:footnote>
  <w:footnote w:id="1">
    <w:p w14:paraId="30F6F876" w14:textId="730E44F5" w:rsidR="00D91082" w:rsidRDefault="00D91082">
      <w:pPr>
        <w:pStyle w:val="FootnoteText"/>
      </w:pPr>
      <w:r>
        <w:rPr>
          <w:rStyle w:val="FootnoteReference"/>
        </w:rPr>
        <w:footnoteRef/>
      </w:r>
      <w:r>
        <w:t xml:space="preserve"> Industry and Sector are used interchangeably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44D30"/>
    <w:multiLevelType w:val="hybridMultilevel"/>
    <w:tmpl w:val="E2A6BC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010C83"/>
    <w:multiLevelType w:val="hybridMultilevel"/>
    <w:tmpl w:val="426EF2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F61038"/>
    <w:multiLevelType w:val="hybridMultilevel"/>
    <w:tmpl w:val="426EF2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5B4DF3"/>
    <w:multiLevelType w:val="hybridMultilevel"/>
    <w:tmpl w:val="426EF2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CC4"/>
    <w:rsid w:val="00011D3A"/>
    <w:rsid w:val="000129EF"/>
    <w:rsid w:val="000179E9"/>
    <w:rsid w:val="00023D46"/>
    <w:rsid w:val="000413B9"/>
    <w:rsid w:val="00061051"/>
    <w:rsid w:val="00082A13"/>
    <w:rsid w:val="000B2F0D"/>
    <w:rsid w:val="000E0D65"/>
    <w:rsid w:val="000E32C7"/>
    <w:rsid w:val="00114C3F"/>
    <w:rsid w:val="001201A9"/>
    <w:rsid w:val="00122CCE"/>
    <w:rsid w:val="00142B24"/>
    <w:rsid w:val="00154547"/>
    <w:rsid w:val="00177477"/>
    <w:rsid w:val="00180E25"/>
    <w:rsid w:val="001C10FD"/>
    <w:rsid w:val="001C6DBB"/>
    <w:rsid w:val="001E377E"/>
    <w:rsid w:val="001E5EC7"/>
    <w:rsid w:val="002233D7"/>
    <w:rsid w:val="00227AE5"/>
    <w:rsid w:val="00255BE5"/>
    <w:rsid w:val="002636CB"/>
    <w:rsid w:val="00281D00"/>
    <w:rsid w:val="002878ED"/>
    <w:rsid w:val="00296C5D"/>
    <w:rsid w:val="002B31D9"/>
    <w:rsid w:val="002B4613"/>
    <w:rsid w:val="002B50CB"/>
    <w:rsid w:val="002B557D"/>
    <w:rsid w:val="002C2AA8"/>
    <w:rsid w:val="002D5F2E"/>
    <w:rsid w:val="00301A53"/>
    <w:rsid w:val="003066AF"/>
    <w:rsid w:val="00310FB0"/>
    <w:rsid w:val="00340BAD"/>
    <w:rsid w:val="00375D51"/>
    <w:rsid w:val="00383098"/>
    <w:rsid w:val="003B4D00"/>
    <w:rsid w:val="003B5568"/>
    <w:rsid w:val="003E0437"/>
    <w:rsid w:val="003E15B6"/>
    <w:rsid w:val="00415F64"/>
    <w:rsid w:val="0043512F"/>
    <w:rsid w:val="004536D6"/>
    <w:rsid w:val="004852F8"/>
    <w:rsid w:val="00491B58"/>
    <w:rsid w:val="004B3C3D"/>
    <w:rsid w:val="004B59FD"/>
    <w:rsid w:val="004C2AC4"/>
    <w:rsid w:val="004F046A"/>
    <w:rsid w:val="0051076D"/>
    <w:rsid w:val="005141B4"/>
    <w:rsid w:val="00543E39"/>
    <w:rsid w:val="00590518"/>
    <w:rsid w:val="0059534C"/>
    <w:rsid w:val="005A11E6"/>
    <w:rsid w:val="005A35FE"/>
    <w:rsid w:val="005C6916"/>
    <w:rsid w:val="005D71A2"/>
    <w:rsid w:val="00607863"/>
    <w:rsid w:val="0063210E"/>
    <w:rsid w:val="00650EEB"/>
    <w:rsid w:val="00654814"/>
    <w:rsid w:val="00670689"/>
    <w:rsid w:val="00671CC4"/>
    <w:rsid w:val="006838A1"/>
    <w:rsid w:val="00693F67"/>
    <w:rsid w:val="006941E7"/>
    <w:rsid w:val="006955BE"/>
    <w:rsid w:val="00695C76"/>
    <w:rsid w:val="006F5045"/>
    <w:rsid w:val="007006CB"/>
    <w:rsid w:val="00704DA5"/>
    <w:rsid w:val="0071039C"/>
    <w:rsid w:val="007115EE"/>
    <w:rsid w:val="007278F9"/>
    <w:rsid w:val="00743071"/>
    <w:rsid w:val="00767EC6"/>
    <w:rsid w:val="0077272F"/>
    <w:rsid w:val="00781100"/>
    <w:rsid w:val="00785501"/>
    <w:rsid w:val="007A3F59"/>
    <w:rsid w:val="007A46EE"/>
    <w:rsid w:val="007A5B52"/>
    <w:rsid w:val="007C1AA3"/>
    <w:rsid w:val="007D4153"/>
    <w:rsid w:val="007F0540"/>
    <w:rsid w:val="00811ED9"/>
    <w:rsid w:val="008218D3"/>
    <w:rsid w:val="00823F1A"/>
    <w:rsid w:val="0082772A"/>
    <w:rsid w:val="0085004C"/>
    <w:rsid w:val="008630EB"/>
    <w:rsid w:val="00863208"/>
    <w:rsid w:val="00881481"/>
    <w:rsid w:val="00891C2F"/>
    <w:rsid w:val="008B0887"/>
    <w:rsid w:val="008B7B02"/>
    <w:rsid w:val="008C260C"/>
    <w:rsid w:val="008C5D75"/>
    <w:rsid w:val="008D6CCD"/>
    <w:rsid w:val="008F0BFF"/>
    <w:rsid w:val="00902CC7"/>
    <w:rsid w:val="009248A7"/>
    <w:rsid w:val="009422A9"/>
    <w:rsid w:val="00980815"/>
    <w:rsid w:val="00986E80"/>
    <w:rsid w:val="009B0E62"/>
    <w:rsid w:val="009B2903"/>
    <w:rsid w:val="009C3BE0"/>
    <w:rsid w:val="009E6DBB"/>
    <w:rsid w:val="009E7507"/>
    <w:rsid w:val="009F06EF"/>
    <w:rsid w:val="00A270A1"/>
    <w:rsid w:val="00A445CB"/>
    <w:rsid w:val="00A47318"/>
    <w:rsid w:val="00A66344"/>
    <w:rsid w:val="00A85E85"/>
    <w:rsid w:val="00A93DAF"/>
    <w:rsid w:val="00AB55AA"/>
    <w:rsid w:val="00AE19D1"/>
    <w:rsid w:val="00AE3BD5"/>
    <w:rsid w:val="00B07169"/>
    <w:rsid w:val="00B122E6"/>
    <w:rsid w:val="00B4270C"/>
    <w:rsid w:val="00B571EF"/>
    <w:rsid w:val="00B60AB4"/>
    <w:rsid w:val="00B651C3"/>
    <w:rsid w:val="00BA09B6"/>
    <w:rsid w:val="00BB4029"/>
    <w:rsid w:val="00BC4391"/>
    <w:rsid w:val="00BE2526"/>
    <w:rsid w:val="00BF2500"/>
    <w:rsid w:val="00C127F9"/>
    <w:rsid w:val="00C15654"/>
    <w:rsid w:val="00C1790D"/>
    <w:rsid w:val="00C416D0"/>
    <w:rsid w:val="00C52E80"/>
    <w:rsid w:val="00C70C37"/>
    <w:rsid w:val="00C714F8"/>
    <w:rsid w:val="00C7170B"/>
    <w:rsid w:val="00CD1FF5"/>
    <w:rsid w:val="00D062CF"/>
    <w:rsid w:val="00D064A5"/>
    <w:rsid w:val="00D2005E"/>
    <w:rsid w:val="00D41EE3"/>
    <w:rsid w:val="00D44DFF"/>
    <w:rsid w:val="00D47B37"/>
    <w:rsid w:val="00D91082"/>
    <w:rsid w:val="00DA24CD"/>
    <w:rsid w:val="00DE3DB0"/>
    <w:rsid w:val="00DF05A1"/>
    <w:rsid w:val="00DF4612"/>
    <w:rsid w:val="00DF6374"/>
    <w:rsid w:val="00E055C6"/>
    <w:rsid w:val="00E22D5D"/>
    <w:rsid w:val="00E252C5"/>
    <w:rsid w:val="00E602AA"/>
    <w:rsid w:val="00E91C62"/>
    <w:rsid w:val="00E9291C"/>
    <w:rsid w:val="00EB3CA3"/>
    <w:rsid w:val="00EC13A5"/>
    <w:rsid w:val="00EC463F"/>
    <w:rsid w:val="00ED430E"/>
    <w:rsid w:val="00ED4B38"/>
    <w:rsid w:val="00ED53D6"/>
    <w:rsid w:val="00EE06CF"/>
    <w:rsid w:val="00EE39CD"/>
    <w:rsid w:val="00F209B1"/>
    <w:rsid w:val="00F3494C"/>
    <w:rsid w:val="00F45A81"/>
    <w:rsid w:val="00F5269A"/>
    <w:rsid w:val="00F61ECD"/>
    <w:rsid w:val="00F65A1F"/>
    <w:rsid w:val="00F81729"/>
    <w:rsid w:val="00FA5BEF"/>
    <w:rsid w:val="00FB2B3A"/>
    <w:rsid w:val="00FB7D89"/>
    <w:rsid w:val="00FC1BCA"/>
    <w:rsid w:val="00FE7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803EF"/>
  <w15:chartTrackingRefBased/>
  <w15:docId w15:val="{F077E738-67BC-46AA-A8DC-1627DA3F7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1FF5"/>
    <w:rPr>
      <w:color w:val="808080"/>
    </w:rPr>
  </w:style>
  <w:style w:type="paragraph" w:styleId="ListParagraph">
    <w:name w:val="List Paragraph"/>
    <w:basedOn w:val="Normal"/>
    <w:uiPriority w:val="34"/>
    <w:qFormat/>
    <w:rsid w:val="00DF6374"/>
    <w:pPr>
      <w:ind w:left="720"/>
      <w:contextualSpacing/>
    </w:pPr>
  </w:style>
  <w:style w:type="table" w:styleId="TableGrid">
    <w:name w:val="Table Grid"/>
    <w:basedOn w:val="TableNormal"/>
    <w:uiPriority w:val="39"/>
    <w:rsid w:val="007006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0B2F0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B2F0D"/>
    <w:rPr>
      <w:sz w:val="20"/>
      <w:szCs w:val="20"/>
    </w:rPr>
  </w:style>
  <w:style w:type="character" w:styleId="EndnoteReference">
    <w:name w:val="endnote reference"/>
    <w:basedOn w:val="DefaultParagraphFont"/>
    <w:uiPriority w:val="99"/>
    <w:semiHidden/>
    <w:unhideWhenUsed/>
    <w:rsid w:val="000B2F0D"/>
    <w:rPr>
      <w:vertAlign w:val="superscript"/>
    </w:rPr>
  </w:style>
  <w:style w:type="paragraph" w:styleId="FootnoteText">
    <w:name w:val="footnote text"/>
    <w:basedOn w:val="Normal"/>
    <w:link w:val="FootnoteTextChar"/>
    <w:uiPriority w:val="99"/>
    <w:semiHidden/>
    <w:unhideWhenUsed/>
    <w:rsid w:val="000B2F0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B2F0D"/>
    <w:rPr>
      <w:sz w:val="20"/>
      <w:szCs w:val="20"/>
    </w:rPr>
  </w:style>
  <w:style w:type="character" w:styleId="FootnoteReference">
    <w:name w:val="footnote reference"/>
    <w:basedOn w:val="DefaultParagraphFont"/>
    <w:uiPriority w:val="99"/>
    <w:semiHidden/>
    <w:unhideWhenUsed/>
    <w:rsid w:val="000B2F0D"/>
    <w:rPr>
      <w:vertAlign w:val="superscript"/>
    </w:rPr>
  </w:style>
  <w:style w:type="paragraph" w:styleId="NormalWeb">
    <w:name w:val="Normal (Web)"/>
    <w:basedOn w:val="Normal"/>
    <w:uiPriority w:val="99"/>
    <w:semiHidden/>
    <w:unhideWhenUsed/>
    <w:rsid w:val="003066A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532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5D94B0-5911-47BE-AF8D-F2C88A8FE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10</Pages>
  <Words>2560</Words>
  <Characters>14595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S. James</dc:creator>
  <cp:keywords/>
  <dc:description/>
  <cp:lastModifiedBy>Sebastian S. James</cp:lastModifiedBy>
  <cp:revision>17</cp:revision>
  <dcterms:created xsi:type="dcterms:W3CDTF">2018-09-28T10:00:00Z</dcterms:created>
  <dcterms:modified xsi:type="dcterms:W3CDTF">2018-10-11T14:32:00Z</dcterms:modified>
</cp:coreProperties>
</file>