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Process Intensification Analysis:</w:t>
        <w:br/>
        <w:t>Intensified Direct CO₂-to-DME Multi-Tube Membrane Reactor</w:t>
      </w:r>
    </w:p>
    <w:p>
      <w:pPr>
        <w:jc w:val="center"/>
      </w:pPr>
      <w:r>
        <w:rPr>
          <w:i/>
          <w:color w:val="64748B"/>
          <w:sz w:val="19"/>
        </w:rPr>
        <w:t>Comprehensive Chemical Reaction Engineering (CRE) Analysis, Theoretical Grounding &amp; Architectural Benchmark</w:t>
        <w:br/>
        <w:t>[Operating Baseline: 250 °C, 40 bar | Catalyst: Cu/ZnO/Al₂O₃ + H-ZSM-5 | Membrane: Hydrophilic NaA Zeolite | 34/34 Tests Passed]</w:t>
      </w:r>
    </w:p>
    <w:p/>
    <w:p>
      <w:pPr>
        <w:pStyle w:val="Heading1"/>
      </w:pPr>
      <w:r>
        <w:rPr>
          <w:b/>
          <w:color w:val="0F172A"/>
          <w:sz w:val="28"/>
        </w:rPr>
        <w:t>1. Executive Summary &amp; Process Intensification Scorecard</w:t>
      </w:r>
    </w:p>
    <w:p>
      <w:r>
        <w:t>Chemical Process Intensification (PI) is defined by the European Roadmap for Process Intensification (2007) and Frerich J. Keil (Rev. Chem. Eng. 2018) as a set of radically innovative principles in process and equipment design that bring significant (greater than a factor of 2) benefits in process efficiency, equipment-size-to-capacity ratio, energy demand, waste reduction, and safety.</w:t>
        <w:br/>
        <w:br/>
        <w:t>Direct CO₂ hydrogenation to dimethyl ether (DME) couples methanol synthesis, reverse water-gas shift (RWGS), and methanol dehydration in a single reactive bed. By integrating in-situ hydrophilic NaA zeolite water-extraction membranes into a geometrically optimized four-tube shell-packed reactor, this design circumvents the thermodynamic Gibbs equilibrium barrier and overcomes catalytic active-site water poisoning.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Process Performance Metric</w:t>
            </w:r>
          </w:p>
        </w:tc>
        <w:tc>
          <w:tcPr>
            <w:tcW w:type="dxa" w:w="1987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Traditional PBR</w:t>
            </w:r>
          </w:p>
        </w:tc>
        <w:tc>
          <w:tcPr>
            <w:tcW w:type="dxa" w:w="1987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Gibbs Ceiling</w:t>
            </w:r>
          </w:p>
        </w:tc>
        <w:tc>
          <w:tcPr>
            <w:tcW w:type="dxa" w:w="1987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Single-Tube CMR</w:t>
            </w:r>
          </w:p>
        </w:tc>
        <w:tc>
          <w:tcPr>
            <w:tcW w:type="dxa" w:w="1987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4-Tube Shell-Packed CMR</w:t>
            </w:r>
          </w:p>
        </w:tc>
      </w:tr>
      <w:tr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CO₂ Single-Pass Conversion (X_CO2)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34.90%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48.71%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93.62%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96.26% (+175.8% vs. PBR)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DME Single-Pass Yield (Y_DME)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31.17%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46.54%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91.94%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94.28% (3.02x Multiplier)</w:t>
            </w:r>
          </w:p>
        </w:tc>
      </w:tr>
      <w:tr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DME Carbon Selectivity (S_DME)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89.29%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95.55%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98.21%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97.94% (+8.65 pp gain)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In-Situ Water Removal Fraction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99.11%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99.70% (0.003 mmol/s residual)</w:t>
            </w:r>
          </w:p>
        </w:tc>
      </w:tr>
      <w:tr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Specific Membrane Area (a_v)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 m⁻¹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133.33 m⁻¹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266.67 m⁻¹ (2.0x area density)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Max Diffusion Distance (L_diff)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5.64 mm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5.00 mm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2.50 mm (50.0% reduction)</w:t>
            </w:r>
          </w:p>
        </w:tc>
      </w:tr>
      <w:tr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Characteristic Diffusion Time (t_D ~ L²/D)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Ref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~25.0 / D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~6.25 / D (75% faster)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Reactor Space-Time Yield (STY)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1.0x (Ref)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1.49x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2.95x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3.02x (67% volume cut)</w:t>
            </w:r>
          </w:p>
        </w:tc>
      </w:tr>
      <w:tr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Unreacted Syngas Recycle Load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65.1% of feed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51.3% of feed</w:t>
            </w:r>
          </w:p>
        </w:tc>
        <w:tc>
          <w:tcPr>
            <w:tcW w:type="dxa" w:w="1987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6.4% of feed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3.7% of feed (&gt;85% cut)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Design Evaluation Latency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~2.5 s (ODE)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98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987"/>
            <w:shd w:val="clear" w:color="auto" w:fill="ECFD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&lt; 0.2 ms (12,500x speedup)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172A"/>
          <w:sz w:val="28"/>
        </w:rPr>
        <w:t>2. Theoretical Foundations &amp; The Four Guiding Principles of PI</w:t>
      </w:r>
    </w:p>
    <w:p>
      <w:r>
        <w:t>As established by Van Gerven and Stankiewicz (2009) and reviewed by Keil (2018), Process Intensification is structured along four physical guiding principles spanning the molecular, equipment, and temporal domains:</w:t>
        <w:br/>
        <w:br/>
        <w:t>1. Principle 1: Maximize Effectiveness of Intra- and Intermolecular Events</w:t>
        <w:br/>
        <w:t>In direct DME synthesis over Cu/ZnO/Al₂O₃, water byproduct competitively blocks active copper sites according to the Langmuir-Hinshelwood denominator D_k³:</w:t>
        <w:br/>
        <w:t xml:space="preserve">   r_CO2 = [k₁ p_CO2 p_H2 (1 - Q₁/K_eq1)] / D_k³</w:t>
        <w:br/>
        <w:t xml:space="preserve">   D_k = 1 + K_H2O,H2(p_H2O/p_H2) + √(K_H2 p_H2) + K_H2O p_H2O</w:t>
        <w:br/>
        <w:t>By continuously extracting 99.70% of the water through the membrane wall, local p_H2O is depressed to &lt; 0.15 bar, maintaining D_k ≈ 1 and sustaining peak forward rates across the entire 1.0 m bed length.</w:t>
        <w:br/>
        <w:br/>
        <w:t>2. Principle 2: Give All Molecules the Same Processing Experience</w:t>
        <w:br/>
        <w:t>In un-intensified packed beds, gas flowing near the wall experiences water stagnation and lower conversion. In the Four-Tube Shell-Packed CMR, four membrane sinks are placed symmetrically at half the shell radius (Rpitch = 5.0 mm = Rshell/2). 3D Darcy-Brinkman continuum CFD simulations confirm that inward radial suction velocity vectors converge uniformly into the four tubes, suppressing wall channeling and providing all fluid packets nearly identical residence-time and concentration histories.</w:t>
        <w:br/>
        <w:br/>
        <w:t>3. Principle 3: Optimize Driving Forces and Maximize Specific Surface Area</w:t>
        <w:br/>
        <w:t>Interfacial mass transfer rate is governed by J_vol = a_v · Π_H2O · Δp_H2O. Halving the tube diameter from 10 mm to 5 mm doubles specific membrane area from a_v = 133.3 m⁻¹ to 266.7 m⁻¹. Furthermore, characteristic diffusion time scales quadratically:</w:t>
        <w:br/>
        <w:t xml:space="preserve">   t_D ≈ L² / D_eff</w:t>
        <w:br/>
        <w:t>Reducing maximum diffusion length from 5.0 mm to 2.5 mm cuts diffusion time by 75% (a 4.0x transport acceleration).</w:t>
        <w:br/>
        <w:br/>
        <w:t>4. Principle 4: Maximize Synergies from Partial Processes (Multifunctional Units)</w:t>
        <w:br/>
        <w:t>By combining direct synthesis and in-situ separation inside the same vessel, continuous water removal maintains Q₁ ≪ K_eq1, continuously pulling the equilibrium forward via Le Chatelier's principle.</w:t>
      </w:r>
    </w:p>
    <w:p>
      <w:pPr>
        <w:pStyle w:val="Heading1"/>
      </w:pPr>
      <w:r>
        <w:rPr>
          <w:b/>
          <w:color w:val="0F172A"/>
          <w:sz w:val="28"/>
        </w:rPr>
        <w:t>3. Why We Intensified &amp; How the Engineering Was Done</w:t>
      </w:r>
    </w:p>
    <w:p>
      <w:r>
        <w:t>Why We Intensified:</w:t>
        <w:br/>
        <w:t>• Equilibrium Bottleneck: Classical packed beds stall at 34.90% single-pass conversion (Gibbs ceiling: 48.71% at 250 °C, 40 bar).</w:t>
        <w:br/>
        <w:t>• Catalyst Deactivation: High steam partial pressures cause hydrothermal dealumination of H-ZSM-5 acid sites and accelerate copper sintering.</w:t>
        <w:br/>
        <w:t>• Flowsheet Energy Duty: With &gt;65% unreacted syngas per pass, conventional plants require massive recompression recycle compressors and energy-intensive three-column distillation trains.</w:t>
        <w:br/>
        <w:br/>
        <w:t>How the Engineering Was Done (Without Changing Operating Conditions):</w:t>
        <w:br/>
        <w:t>• Identical Operating Conditions: Temperature (250 °C), Pressure (40 bar), GHSV (1000 h⁻¹), catalyst mass (0.283 kg), and shell ID (20 mm) were kept strictly constant.</w:t>
        <w:br/>
        <w:t>• Bifunctional Bed Integration: Cu/ZnO/Al₂O₃ + H-ZSM-5 (dp = 0.30 mm, bulk density 1200 kg/m³, bed voidage 0.40).</w:t>
        <w:br/>
        <w:t>• Selective Hydrophilic Membrane: NaA Zeolite (pore aperture 4.0 Å) admits water (2.65 Å) while strictly blocking DME (4.30 Å).</w:t>
        <w:br/>
        <w:t>• Pitch Placement: Four 5.0 mm tubes placed at Rpitch = 5.0 mm on a 90° symmetric pitch circle.</w:t>
      </w:r>
    </w:p>
    <w:p>
      <w:r>
        <w:br w:type="page"/>
      </w:r>
    </w:p>
    <w:p>
      <w:pPr>
        <w:pStyle w:val="Heading1"/>
      </w:pPr>
      <w:r>
        <w:rPr>
          <w:b/>
          <w:color w:val="0F172A"/>
          <w:sz w:val="28"/>
        </w:rPr>
        <w:t>4. Architectural Comparison: Single-Tube vs. Four-Tube Shell-Packed CMR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&amp; CRE Parameter</w:t>
            </w:r>
          </w:p>
        </w:tc>
        <w:tc>
          <w:tcPr>
            <w:tcW w:type="dxa" w:w="2484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Single Centre Tube CMR</w:t>
            </w:r>
          </w:p>
        </w:tc>
        <w:tc>
          <w:tcPr>
            <w:tcW w:type="dxa" w:w="2484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Four-Tube Shell-Packed CMR</w:t>
            </w:r>
          </w:p>
        </w:tc>
        <w:tc>
          <w:tcPr>
            <w:tcW w:type="dxa" w:w="2484"/>
            <w:shd w:val="clear" w:color="auto"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 Consequence &amp; Physical Impact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Tube Count &amp; Configuration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 center tube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4 distributed tubes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Symmetric multi-sink radial suction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Tube Outer Diameter (dt)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10.0 mm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5.0 mm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Halving diameter doubles surface-to-volume ratio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Pitch Circle Radius (Rpitch)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0.0 mm (centered)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5.0 mm (half shell radius)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Tubes placed at (±5, 0) and (0, ±5) mm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Shell Bore Diameter (Dshell)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20.0 mm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20.0 mm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Identical vessel outer boundary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Active Catalyst Bed Area (Ac)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2.3562 cm² (75.0%)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2.3562 cm² (75.0%)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Identical catalyst volume and catalyst mass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Specific Membrane Area (av)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133.33 m⁻¹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266.67 m⁻¹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 +100% (2.0x) increase in area density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Total Membrane Area (Amem)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0.0314 m²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0.0628 m²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 2.0x increase in interfacial transfer area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Maximum Diffusion Distance (L)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5.00 mm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2.50 mm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50.0% reduction in maximum transport distance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Diffusion Timescale (t_D ~ L²/D)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~25.0 / D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~6.25 / D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4.0x faster radial mass transport (75% drop in t_D)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Clearance Between Tubes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2.071 mm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δ / dp = 6.9 ≥ 5.0 (stable packing, zero bridging)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Clearance to Shell Wall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5.00 mm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2.50 mm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δ / dp = 8.3 ≥ 5.0 (prevents wall voidage bridging)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Shell Voids &amp; Bypass Risk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Zero (annular)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Zero (100% packed)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No unsealed voids; zero bypass vulnerability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Single-Pass CO₂ Conversion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93.62%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96.26%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+2.64 pp higher conversion</w:t>
            </w:r>
          </w:p>
        </w:tc>
      </w:tr>
      <w:tr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Single-Pass DME Yield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91.94%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94.28%</w:t>
            </w:r>
          </w:p>
        </w:tc>
        <w:tc>
          <w:tcPr>
            <w:tcW w:type="dxa" w:w="2484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+2.34 pp higher single-pass yield</w:t>
            </w:r>
          </w:p>
        </w:tc>
      </w:tr>
      <w:tr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In-Situ Water Removal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99.11%</w:t>
            </w:r>
          </w:p>
        </w:tc>
        <w:tc>
          <w:tcPr>
            <w:tcW w:type="dxa" w:w="2484"/>
            <w:shd w:val="clear" w:color="auto" w:fill="ECFD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065F46"/>
                <w:sz w:val="17"/>
              </w:rPr>
              <w:t>99.70%</w:t>
            </w:r>
          </w:p>
        </w:tc>
        <w:tc>
          <w:tcPr>
            <w:tcW w:type="dxa" w:w="2484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Enhanced extraction halos across 4 suction sinks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F172A"/>
          <w:sz w:val="28"/>
        </w:rPr>
        <w:t>5. Practical Engineering Implementation &amp; Commercial Sizing</w:t>
      </w:r>
    </w:p>
    <w:p>
      <w:r>
        <w:t>1. High-Pressure Ceramic-to-Metal Sealing (ΔP = 39 bar):</w:t>
        <w:br/>
        <w:t>Porous α-alumina tubes are metallized with active Ag-Cu-Ti alloy and brazed to Kovar collars. The collars pass through a CNC-machined multi-tube header plate sealed with compressed Grafoil flexible graphite gaskets (certified up to 450 °C, 60 bar), completely isolating the 40 bar reaction shell from the 1 bar sweep plenum.</w:t>
        <w:br/>
        <w:br/>
        <w:t>2. Catalyst Loading Without Bridging:</w:t>
        <w:br/>
        <w:t>The minimum gap between tubes is 2.071 mm. With micro-pellets (dp = 0.30 mm), the clearance ratio is δ/dp = 6.9 ≥ 5.0, satisfying the Happel-Brenner packing criterion. Low-amplitude 50 Hz vibration during pneumatic loading ensures dense, uniform random packing (voidage εb = 0.40) without particle bridging.</w:t>
        <w:br/>
        <w:br/>
        <w:t>3. Exothermic Thermal Wall Jacket:</w:t>
        <w:br/>
        <w:t>Direct DME synthesis is exothermic (ΔH° = -122.6 kJ/mol). By keeping shell diameter at D = 20 mm, the maximum distance to the cooled wall is only 10 mm. An external pressurized saturated boiling water jacket (40 bar, Tsat = 250 °C) provides heat transfer coefficients of 2000–4000 W/(m²·K), restricting radial temperature rise to ΔT &lt; 4 °C.</w:t>
        <w:br/>
        <w:br/>
        <w:t>4. Downstream Product Condensation at 40 bar:</w:t>
        <w:br/>
        <w:t>Because DME exits the shell at 40 bar, its boiling point rises from -24.8 °C (at 1 bar) to +91 °C! Passing the de-watered retentate through standard 25 °C cooling water heat exchangers condenses high-purity liquid DME instantly with zero secondary recompression power.</w:t>
        <w:br/>
        <w:br/>
        <w:t>5. Commercial Scale-Up via Numbering-Up:</w:t>
        <w:br/>
        <w:t>Industrial capacity is achieved by housing thousands of identical 4-tube cartridges in parallel inside a large multi-tubular shell vessel bathed in boiling water, preserving the verified 2.5 mm diffusion scale and 99.70% water removal.</w:t>
      </w:r>
    </w:p>
    <w:p>
      <w:pPr>
        <w:pStyle w:val="Heading1"/>
      </w:pPr>
      <w:r>
        <w:rPr>
          <w:b/>
          <w:color w:val="0F172A"/>
          <w:sz w:val="28"/>
        </w:rPr>
        <w:t>6. Data-Backed Conclusions</w:t>
      </w:r>
    </w:p>
    <w:p>
      <w:r>
        <w:t>• Paradigm Shift Achieved: Single-pass DME yield rises from 31.17% (PBR) to 94.28% (3.02x multiplier), decisively meeting the European Roadmap Process Intensification criterion (&gt; 2.0x factor benefit).</w:t>
        <w:br/>
        <w:t>• Equilibrium Bypassed: Continuous in-situ water extraction (99.70%) overshoots the thermodynamic Gibbs ceiling (46.54%) by 2.03x.</w:t>
        <w:br/>
        <w:t>• Four-Tube Superiority: Halving tube diameter and placing four tubes at half-radius doubles specific membrane area (av = 266.7 m⁻¹) and slashes diffusion time by 75% at identical catalyst inventory and shell dimensions.</w:t>
        <w:br/>
        <w:t>• Flowsheet Impact: Unreacted syngas recycle is reduced by &gt;85%, and high-pressure liquid DME recovery eliminates costly cryo-refrigeration.</w:t>
      </w:r>
    </w:p>
    <w:p>
      <w:r>
        <w:br w:type="page"/>
      </w:r>
    </w:p>
    <w:p>
      <w:pPr>
        <w:pStyle w:val="Heading1"/>
      </w:pPr>
      <w:r>
        <w:rPr>
          <w:b/>
          <w:color w:val="0F172A"/>
          <w:sz w:val="28"/>
        </w:rPr>
        <w:t>Appendix: Technical Drawings &amp; 3D CFD Verification Slices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5443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e_shell_packed_cross_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1: To-scale 2D Cross Section of Four-Tube Shell-Packed CMR (D_shell = 20 mm, dt = 5 mm, Rpitch = 5 mm).</w:t>
      </w:r>
    </w:p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2667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e_cfd_cross_se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2: 2D Multi-Slice Darcy-Brinkman CFD Contours (z = 50 to 1000 mm) showing radial water depletion halos.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