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b/>
          <w:color w:val="475569"/>
          <w:sz w:val="36"/>
        </w:rPr>
        <w:t xml:space="preserve"> Direct \text{CO}2-to-Dimethyl Ether (DME) Catalytic Membrane Reactor: Comprehensive Technical Project Report</w:t>
      </w:r>
    </w:p>
    <w:p>
      <w:pPr>
        <w:spacing w:before="40" w:after="80"/>
      </w:pPr>
      <w:r>
        <w:rPr>
          <w:color w:val="1F2937"/>
          <w:sz w:val="20"/>
        </w:rPr>
        <w:t>**Document Title:** Physical Modeling, Geometric Intensification, Machine Learning Optimization, and Continuum CFD Simulation of Catalytic Membrane Reactors for Direct \text{CO}_2 Hydrogenation to Dimethyl Ether</w:t>
      </w:r>
    </w:p>
    <w:p>
      <w:pPr>
        <w:spacing w:before="40" w:after="80"/>
      </w:pPr>
      <w:r>
        <w:rPr>
          <w:color w:val="1F2937"/>
          <w:sz w:val="20"/>
        </w:rPr>
        <w:t>**Author / Lead Investigator:** Sameer Shekhar</w:t>
      </w:r>
    </w:p>
    <w:p>
      <w:pPr>
        <w:spacing w:before="40" w:after="80"/>
      </w:pPr>
      <w:r>
        <w:rPr>
          <w:color w:val="1F2937"/>
          <w:sz w:val="20"/>
        </w:rPr>
        <w:t>**Repository Source:** [`p1`](file:///Users/sameershekhar/Documents/GitHub/p1) &amp; [`paper1`](file:///Users/sameershekhar/Documents/GitHub/LLM-/paper1%20)</w:t>
      </w:r>
    </w:p>
    <w:p>
      <w:pPr>
        <w:spacing w:before="40" w:after="80"/>
      </w:pPr>
      <w:r>
        <w:rPr>
          <w:color w:val="1F2937"/>
          <w:sz w:val="20"/>
        </w:rPr>
        <w:t>**Kinetic Standard:** W. Lu et al. (2004) / Poto et al. (2021) Formulations</w:t>
      </w:r>
    </w:p>
    <w:p>
      <w:pPr>
        <w:spacing w:before="40" w:after="80"/>
      </w:pPr>
      <w:r>
        <w:rPr>
          <w:color w:val="1F2937"/>
          <w:sz w:val="20"/>
        </w:rPr>
        <w:t>**Geometric Baseline:** Unified Invariant Cross-Section (A_c = 2.3562\text{ cm}^2, D_{\text{shell}} = 20.00\text{ mm}, L = 1.00\text{ m})</w:t>
      </w:r>
    </w:p>
    <w:p>
      <w:pPr>
        <w:spacing w:before="280" w:after="120"/>
      </w:pPr>
      <w:r>
        <w:rPr>
          <w:b/>
          <w:color w:val="475569"/>
          <w:sz w:val="28"/>
        </w:rPr>
        <w:t xml:space="preserve"> Table of Contents</w:t>
      </w:r>
    </w:p>
    <w:p>
      <w:pPr>
        <w:pStyle w:val="ListNumber"/>
        <w:spacing w:before="20" w:after="40"/>
      </w:pPr>
      <w:r>
        <w:rPr>
          <w:color w:val="1F2937"/>
          <w:sz w:val="20"/>
        </w:rPr>
        <w:t>[Executive Summary &amp; Scope Definition](#1-executive-summary--scope-definition)</w:t>
      </w:r>
    </w:p>
    <w:p>
      <w:pPr>
        <w:pStyle w:val="ListNumber"/>
        <w:spacing w:before="20" w:after="40"/>
      </w:pPr>
      <w:r>
        <w:rPr>
          <w:color w:val="1F2937"/>
          <w:sz w:val="20"/>
        </w:rPr>
        <w:t>[Fundamental Chemistry &amp; Reaction Network](#2-fundamental-chemistry--reaction-network)</w:t>
      </w:r>
    </w:p>
    <w:p>
      <w:pPr>
        <w:pStyle w:val="ListNumber"/>
        <w:spacing w:before="20" w:after="40"/>
      </w:pPr>
      <w:r>
        <w:rPr>
          <w:color w:val="1F2937"/>
          <w:sz w:val="20"/>
        </w:rPr>
        <w:t>[Thermodynamic Equilibrium Constants &amp; Verifications](#3-thermodynamic-equilibrium-constants--verifications)</w:t>
      </w:r>
    </w:p>
    <w:p>
      <w:pPr>
        <w:pStyle w:val="ListNumber"/>
        <w:spacing w:before="20" w:after="40"/>
      </w:pPr>
      <w:r>
        <w:rPr>
          <w:color w:val="1F2937"/>
          <w:sz w:val="20"/>
        </w:rPr>
        <w:t>[Chemical Reaction Kinetics &amp; Adsorption Formulations](#4-chemical-reaction-kinetics--adsorption-formulations)</w:t>
      </w:r>
    </w:p>
    <w:p>
      <w:pPr>
        <w:pStyle w:val="ListNumber"/>
        <w:spacing w:before="20" w:after="40"/>
      </w:pPr>
      <w:r>
        <w:rPr>
          <w:color w:val="1F2937"/>
          <w:sz w:val="20"/>
        </w:rPr>
        <w:t>[One-Dimensional Multi-Component Transport Model](#5-one-dimensional-multi-component-transport-model)</w:t>
      </w:r>
    </w:p>
    <w:p>
      <w:pPr>
        <w:pStyle w:val="ListNumber"/>
        <w:spacing w:before="20" w:after="40"/>
      </w:pPr>
      <w:r>
        <w:rPr>
          <w:color w:val="1F2937"/>
          <w:sz w:val="20"/>
        </w:rPr>
        <w:t>[Comprehensive Engineering Assumptions Register](#6-comprehensive-engineering-assumptions-register)</w:t>
      </w:r>
    </w:p>
    <w:p>
      <w:pPr>
        <w:pStyle w:val="ListNumber"/>
        <w:spacing w:before="20" w:after="40"/>
      </w:pPr>
      <w:r>
        <w:rPr>
          <w:color w:val="1F2937"/>
          <w:sz w:val="20"/>
        </w:rPr>
        <w:t>[Dimensionless Quantities &amp; Transport Criteria](#7-dimensionless-quantities--transport-criteria)</w:t>
      </w:r>
    </w:p>
    <w:p>
      <w:pPr>
        <w:pStyle w:val="ListNumber"/>
        <w:spacing w:before="20" w:after="40"/>
      </w:pPr>
      <w:r>
        <w:rPr>
          <w:color w:val="1F2937"/>
          <w:sz w:val="20"/>
        </w:rPr>
        <w:t>[Reactor Topologies &amp; Invariant Geometric Baseline](#8-reactor-topologies--invariant-geometric-baseline)</w:t>
      </w:r>
    </w:p>
    <w:p>
      <w:pPr>
        <w:pStyle w:val="ListNumber"/>
        <w:spacing w:before="20" w:after="40"/>
      </w:pPr>
      <w:r>
        <w:rPr>
          <w:color w:val="1F2937"/>
          <w:sz w:val="20"/>
        </w:rPr>
        <w:t>[Detailed Dimension &amp; Spatial Clearance Comparison](#9-detailed-dimension--spatial-clearance-comparison)</w:t>
      </w:r>
    </w:p>
    <w:p>
      <w:pPr>
        <w:pStyle w:val="ListNumber"/>
        <w:spacing w:before="20" w:after="40"/>
      </w:pPr>
      <w:r>
        <w:rPr>
          <w:color w:val="1F2937"/>
          <w:sz w:val="20"/>
        </w:rPr>
        <w:t>[Operating Conditions, Flow Rates &amp; Sweep Mechanics](#10-operating-conditions-flow-rates--sweep-mechanics)</w:t>
      </w:r>
    </w:p>
    <w:p>
      <w:pPr>
        <w:pStyle w:val="ListNumber"/>
        <w:spacing w:before="20" w:after="40"/>
      </w:pPr>
      <w:r>
        <w:rPr>
          <w:color w:val="1F2937"/>
          <w:sz w:val="20"/>
        </w:rPr>
        <w:t>[Multi-Architecture Simulation Benchmark (Lu Kinetics)](#11-multi-architecture-simulation-benchmark-lu-kinetics)</w:t>
      </w:r>
    </w:p>
    <w:p>
      <w:pPr>
        <w:pStyle w:val="ListNumber"/>
        <w:spacing w:before="20" w:after="40"/>
      </w:pPr>
      <w:r>
        <w:rPr>
          <w:color w:val="1F2937"/>
          <w:sz w:val="20"/>
        </w:rPr>
        <w:t>[Process Intensification Factors &amp; Transport Timescales](#12-process-intensification-factors--transport-timescales)</w:t>
      </w:r>
    </w:p>
    <w:p>
      <w:pPr>
        <w:pStyle w:val="ListNumber"/>
        <w:spacing w:before="20" w:after="40"/>
      </w:pPr>
      <w:r>
        <w:rPr>
          <w:color w:val="1F2937"/>
          <w:sz w:val="20"/>
        </w:rPr>
        <w:t>[Deconstruction of the "8 Percent Water" Literature Myth](#13-deconstruction-of-the-8-percent-water-literature-myth)</w:t>
      </w:r>
    </w:p>
    <w:p>
      <w:pPr>
        <w:pStyle w:val="ListNumber"/>
        <w:spacing w:before="20" w:after="40"/>
      </w:pPr>
      <w:r>
        <w:rPr>
          <w:color w:val="1F2937"/>
          <w:sz w:val="20"/>
        </w:rPr>
        <w:t>[Machine Learning Surrogate Modeling &amp; Sensitivity Analysis](#14-machine-learning-surrogate-modeling--sensitivity-analysis)</w:t>
      </w:r>
    </w:p>
    <w:p>
      <w:pPr>
        <w:pStyle w:val="ListNumber"/>
        <w:spacing w:before="20" w:after="40"/>
      </w:pPr>
      <w:r>
        <w:rPr>
          <w:color w:val="1F2937"/>
          <w:sz w:val="20"/>
        </w:rPr>
        <w:t>[ANSYS Fluent Continuum CFD Replication Manual](#15-ansys-fluent-continuum-cfd-replication-manual)</w:t>
      </w:r>
    </w:p>
    <w:p>
      <w:pPr>
        <w:pStyle w:val="ListNumber"/>
        <w:spacing w:before="20" w:after="40"/>
      </w:pPr>
      <w:r>
        <w:rPr>
          <w:color w:val="1F2937"/>
          <w:sz w:val="20"/>
        </w:rPr>
        <w:t>[Project Repository File Index](#16-project-repository-file-index)</w:t>
      </w:r>
    </w:p>
    <w:p>
      <w:pPr>
        <w:spacing w:before="280" w:after="120"/>
      </w:pPr>
      <w:r>
        <w:rPr>
          <w:b/>
          <w:color w:val="475569"/>
          <w:sz w:val="28"/>
        </w:rPr>
        <w:t xml:space="preserve"> 1. Executive Summary &amp; Scope Definition</w:t>
      </w:r>
    </w:p>
    <w:p>
      <w:pPr>
        <w:spacing w:before="200" w:after="80"/>
      </w:pPr>
      <w:r>
        <w:rPr>
          <w:b/>
          <w:color w:val="475569"/>
          <w:sz w:val="24"/>
        </w:rPr>
        <w:t xml:space="preserve"> 1.1 The Decarbonization Context</w:t>
      </w:r>
    </w:p>
    <w:p>
      <w:pPr>
        <w:spacing w:before="40" w:after="80"/>
      </w:pPr>
      <w:r>
        <w:rPr>
          <w:color w:val="1F2937"/>
          <w:sz w:val="20"/>
        </w:rPr>
        <w:t>The catalytic hydrogenation of captured carbon dioxide (\text{CO}_2) utilizing green hydrogen (\text{H}_2) generated via renewable water electrolysis represents a closed-loop carbon capture and utilization (CCU) framework. Among synthetic e-fuels, **dimethyl ether (\text{CH}_3\text{OCH}_3, DME)** is an ultra-clean alternative fuel with a high cetane number (55\text{--}60), low particulate soot emissions, and physical properties identical to liquified petroleum gas (LPG, condensing at 0.5\text{ MPa} at ambient temperature).</w:t>
      </w:r>
    </w:p>
    <w:p>
      <w:pPr>
        <w:spacing w:before="200" w:after="80"/>
      </w:pPr>
      <w:r>
        <w:rPr>
          <w:b/>
          <w:color w:val="475569"/>
          <w:sz w:val="24"/>
        </w:rPr>
        <w:t xml:space="preserve"> 1.2 Two-Stage Indirect vs. Intensified Direct Synthesis</w:t>
      </w:r>
    </w:p>
    <w:p>
      <w:pPr>
        <w:pStyle w:val="ListBullet"/>
        <w:spacing w:before="20" w:after="40"/>
      </w:pPr>
      <w:r>
        <w:rPr>
          <w:color w:val="1F2937"/>
          <w:sz w:val="20"/>
        </w:rPr>
        <w:t>**Conventional Indirect Route:** Operates in two distinct units:</w:t>
      </w:r>
    </w:p>
    <w:p>
      <w:pPr>
        <w:pStyle w:val="ListNumber"/>
        <w:spacing w:before="20" w:after="40"/>
      </w:pPr>
      <w:r>
        <w:rPr>
          <w:color w:val="1F2937"/>
          <w:sz w:val="20"/>
        </w:rPr>
        <w:t>Methanol synthesis over \text{Cu/ZnO/Al}_2\text{O}_3 (50\text{--}100\text{ bar}, 220\text{--}280^\circ\text{C}).</w:t>
      </w:r>
    </w:p>
    <w:p>
      <w:pPr>
        <w:pStyle w:val="ListNumber"/>
        <w:spacing w:before="20" w:after="40"/>
      </w:pPr>
      <w:r>
        <w:rPr>
          <w:color w:val="1F2937"/>
          <w:sz w:val="20"/>
        </w:rPr>
        <w:t>Intermediate condensation, depressurization, multi-column distillation to remove water, reheating, and gas-phase dehydration over solid acid catalysts (\gamma\text{-Al}_2\text{O}_3 or \text{H-ZSM-5}) at 250\text{--}350^\circ\text{C} (2\text{CH}_3\text{OH} \to \text{DME} + \text{H}_2\text{O}).</w:t>
      </w:r>
    </w:p>
    <w:p>
      <w:pPr>
        <w:pStyle w:val="ListBullet"/>
        <w:spacing w:before="20" w:after="40"/>
      </w:pPr>
      <w:r>
        <w:rPr>
          <w:color w:val="1F2937"/>
          <w:sz w:val="20"/>
        </w:rPr>
        <w:t>**Direct Intensified Route:** Co-pelletizes or admixes both catalytic functions into a single reactor bed. While direct synthesis eliminates intermediate separation trains, it suffers from a thermodynamic bottleneck: **stoichiometric byproduct water accumulation**.</w:t>
      </w:r>
    </w:p>
    <w:p>
      <w:pPr>
        <w:spacing w:before="200" w:after="80"/>
      </w:pPr>
      <w:r>
        <w:rPr>
          <w:b/>
          <w:color w:val="475569"/>
          <w:sz w:val="24"/>
        </w:rPr>
        <w:t xml:space="preserve"> 1.3 The Catalytic Membrane Reactor (CMR) Solution</w:t>
      </w:r>
    </w:p>
    <w:p>
      <w:pPr>
        <w:spacing w:before="40" w:after="80"/>
      </w:pPr>
      <w:r>
        <w:rPr>
          <w:color w:val="1F2937"/>
          <w:sz w:val="20"/>
        </w:rPr>
        <w:t>In a conventional closed packed bed (TR), water partial pressure builds up, driving reaction quotients to the equilibrium constant (Q \to K_{eq}), which caps single-pass DME yield at **19.65\%** (kinetic limit) or **46.54\%** (Gibbs ceiling) while poisoning the copper active sites.</w:t>
      </w:r>
    </w:p>
    <w:p>
      <w:pPr>
        <w:spacing w:before="40" w:after="80"/>
      </w:pPr>
      <w:r>
        <w:rPr>
          <w:color w:val="1F2937"/>
          <w:sz w:val="20"/>
        </w:rPr>
        <w:t>By embedding an **in-situ hydrophilic NaA zeolite membrane**, water vapor is continuously extracted from the catalytic zone into a co-current permeate sweep channel (J_{\text{H}_2\text{O}} = \Pi_{\text{H}_2\text{O}} \Delta p_{\text{H}_2\text{O}}). This maintains Q &lt; K_{eq} along the entire bed length, shifting the reaction forward by Le Chatelier's principle and driving DME single-pass yield to **86.16\%** with **99.53\%** water evacuation.</w:t>
      </w:r>
    </w:p>
    <w:p>
      <w:pPr>
        <w:spacing w:before="280" w:after="120"/>
      </w:pPr>
      <w:r>
        <w:rPr>
          <w:b/>
          <w:color w:val="475569"/>
          <w:sz w:val="28"/>
        </w:rPr>
        <w:t xml:space="preserve"> 2. Fundamental Chemistry &amp; Reaction Network</w:t>
      </w:r>
    </w:p>
    <w:p>
      <w:pPr>
        <w:spacing w:before="40" w:after="80"/>
      </w:pPr>
      <w:r>
        <w:rPr>
          <w:color w:val="1F2937"/>
          <w:sz w:val="20"/>
        </w:rPr>
        <w:t>Direct DME synthesis comprises three simultaneous, reversible reactions:</w:t>
      </w:r>
    </w:p>
    <w:p>
      <w:pPr>
        <w:spacing w:before="200" w:after="80"/>
      </w:pPr>
      <w:r>
        <w:rPr>
          <w:b/>
          <w:color w:val="475569"/>
          <w:sz w:val="24"/>
        </w:rPr>
        <w:t xml:space="preserve"> Reaction 1: \text{CO}2 Hydrogenation to Methanol</w:t>
      </w:r>
    </w:p>
    <w:p>
      <w:pPr>
        <w:spacing w:before="80" w:after="80"/>
        <w:jc w:val="center"/>
      </w:pPr>
      <w:r>
        <w:rPr>
          <w:i/>
          <w:color w:val="475569"/>
          <w:sz w:val="20"/>
        </w:rPr>
        <w:t>\text{CO}_2 + 3\text{H}_2 \rightleftharpoons \text{CH}_3\text{OH} + \text{H}_2\text{O}, \quad \Delta H^\circ_{298\text{ K}} = -49.5\text{ kJ/mol}</w:t>
      </w:r>
    </w:p>
    <w:p>
      <w:pPr>
        <w:pStyle w:val="ListBullet"/>
        <w:spacing w:before="20" w:after="40"/>
      </w:pPr>
      <w:r>
        <w:rPr>
          <w:color w:val="1F2937"/>
          <w:sz w:val="20"/>
        </w:rPr>
        <w:t>Exothermic reaction with significant molar contraction (\Delta n = -2).</w:t>
      </w:r>
    </w:p>
    <w:p>
      <w:pPr>
        <w:pStyle w:val="ListBullet"/>
        <w:spacing w:before="20" w:after="40"/>
      </w:pPr>
      <w:r>
        <w:rPr>
          <w:color w:val="1F2937"/>
          <w:sz w:val="20"/>
        </w:rPr>
        <w:t>Favored by high operating pressure and low-to-moderate temperature.</w:t>
      </w:r>
    </w:p>
    <w:p>
      <w:pPr>
        <w:spacing w:before="200" w:after="80"/>
      </w:pPr>
      <w:r>
        <w:rPr>
          <w:b/>
          <w:color w:val="475569"/>
          <w:sz w:val="24"/>
        </w:rPr>
        <w:t xml:space="preserve"> Reaction 2: Reverse Water-Gas Shift (RWGS)</w:t>
      </w:r>
    </w:p>
    <w:p>
      <w:pPr>
        <w:spacing w:before="80" w:after="80"/>
        <w:jc w:val="center"/>
      </w:pPr>
      <w:r>
        <w:rPr>
          <w:i/>
          <w:color w:val="475569"/>
          <w:sz w:val="20"/>
        </w:rPr>
        <w:t>\text{CO}_2 + \text{H}_2 \rightleftharpoons \text{CO} + \text{H}_2\text{O}, \quad \Delta H^\circ_{298\text{ K}} = +41.2\text{ kJ/mol}</w:t>
      </w:r>
    </w:p>
    <w:p>
      <w:pPr>
        <w:pStyle w:val="ListBullet"/>
        <w:spacing w:before="20" w:after="40"/>
      </w:pPr>
      <w:r>
        <w:rPr>
          <w:color w:val="1F2937"/>
          <w:sz w:val="20"/>
        </w:rPr>
        <w:t>Endothermic equimolar side reaction (\Delta n = 0).</w:t>
      </w:r>
    </w:p>
    <w:p>
      <w:pPr>
        <w:pStyle w:val="ListBullet"/>
        <w:spacing w:before="20" w:after="40"/>
      </w:pPr>
      <w:r>
        <w:rPr>
          <w:color w:val="1F2937"/>
          <w:sz w:val="20"/>
        </w:rPr>
        <w:t>Favored at elevated temperatures; unaffected by pressure. Produces parasitic \text{CO} byproduct.</w:t>
      </w:r>
    </w:p>
    <w:p>
      <w:pPr>
        <w:spacing w:before="200" w:after="80"/>
      </w:pPr>
      <w:r>
        <w:rPr>
          <w:b/>
          <w:color w:val="475569"/>
          <w:sz w:val="24"/>
        </w:rPr>
        <w:t xml:space="preserve"> Reaction 3: Solid Acid Methanol Dehydration to DME</w:t>
      </w:r>
    </w:p>
    <w:p>
      <w:pPr>
        <w:spacing w:before="80" w:after="80"/>
        <w:jc w:val="center"/>
      </w:pPr>
      <w:r>
        <w:rPr>
          <w:i/>
          <w:color w:val="475569"/>
          <w:sz w:val="20"/>
        </w:rPr>
        <w:t>2\text{CH}_3\text{OH} \rightleftharpoons \text{CH}_3\text{OCH}_3\text{ (DME)} + \text{H}_2\text{O}, \quad \Delta H^\circ_{298\text{ K}} = -23.6\text{ kJ/mol}</w:t>
      </w:r>
    </w:p>
    <w:p>
      <w:pPr>
        <w:pStyle w:val="ListBullet"/>
        <w:spacing w:before="20" w:after="40"/>
      </w:pPr>
      <w:r>
        <w:rPr>
          <w:color w:val="1F2937"/>
          <w:sz w:val="20"/>
        </w:rPr>
        <w:t>Exothermic equimolar reaction (\Delta n = 0).</w:t>
      </w:r>
    </w:p>
    <w:p>
      <w:pPr>
        <w:pStyle w:val="ListBullet"/>
        <w:spacing w:before="20" w:after="40"/>
      </w:pPr>
      <w:r>
        <w:rPr>
          <w:color w:val="1F2937"/>
          <w:sz w:val="20"/>
        </w:rPr>
        <w:t>Consumes intermediate methanol, pulling Reaction 1 forward by chemical coupling.</w:t>
      </w:r>
    </w:p>
    <w:p>
      <w:pPr>
        <w:spacing w:before="200" w:after="80"/>
      </w:pPr>
      <w:r>
        <w:rPr>
          <w:b/>
          <w:color w:val="475569"/>
          <w:sz w:val="24"/>
        </w:rPr>
        <w:t xml:space="preserve"> Overall Net Direct Synthesis</w:t>
      </w:r>
    </w:p>
    <w:p>
      <w:pPr>
        <w:spacing w:before="80" w:after="80"/>
        <w:jc w:val="center"/>
      </w:pPr>
      <w:r>
        <w:rPr>
          <w:i/>
          <w:color w:val="475569"/>
          <w:sz w:val="20"/>
        </w:rPr>
        <w:t>2\text{CO}_2 + 6\text{H}_2 \rightleftharpoons \text{CH}_3\text{OCH}_3 + 3\text{H}_2\text{O}, \quad \Delta H^\circ_{298\text{ K}} = -122.6\text{ kJ/mol}</w:t>
      </w:r>
    </w:p>
    <w:p>
      <w:pPr>
        <w:pStyle w:val="ListBullet"/>
        <w:spacing w:before="20" w:after="40"/>
      </w:pPr>
      <w:r>
        <w:rPr>
          <w:color w:val="1F2937"/>
          <w:sz w:val="20"/>
        </w:rPr>
        <w:t>Strongly exothermic with large molar contraction (\Delta n = -4).</w:t>
      </w:r>
    </w:p>
    <w:p>
      <w:pPr>
        <w:spacing w:before="280" w:after="120"/>
      </w:pPr>
      <w:r>
        <w:rPr>
          <w:b/>
          <w:color w:val="475569"/>
          <w:sz w:val="28"/>
        </w:rPr>
        <w:t xml:space="preserve"> 3. Thermodynamic Equilibrium Constants &amp; Verifications</w:t>
      </w:r>
    </w:p>
    <w:p>
      <w:pPr>
        <w:spacing w:before="40" w:after="80"/>
      </w:pPr>
      <w:r>
        <w:rPr>
          <w:color w:val="1F2937"/>
          <w:sz w:val="20"/>
        </w:rPr>
        <w:t>Thermodynamic equilibrium expressions are evaluated as functions of absolute temperature T (Kelvin):</w:t>
      </w:r>
    </w:p>
    <w:p>
      <w:pPr>
        <w:spacing w:before="200" w:after="80"/>
      </w:pPr>
      <w:r>
        <w:rPr>
          <w:b/>
          <w:color w:val="475569"/>
          <w:sz w:val="24"/>
        </w:rPr>
        <w:t xml:space="preserve"> 3.1 Methanol Synthesis (K{eq1}): Graaf et al. (1986)</w:t>
      </w:r>
    </w:p>
    <w:p>
      <w:pPr>
        <w:spacing w:before="80" w:after="80"/>
        <w:jc w:val="center"/>
      </w:pPr>
      <w:r>
        <w:rPr>
          <w:i/>
          <w:color w:val="475569"/>
          <w:sz w:val="20"/>
        </w:rPr>
        <w:t>\log_{10} K_{eq1} = \frac{3066}{T} - 10.592 \implies K_{eq1} = 10^{\left(\frac{3066}{T} - 10.592\right)} \quad [\text{bar}^{-2}]</w:t>
      </w:r>
    </w:p>
    <w:p>
      <w:pPr>
        <w:pStyle w:val="ListBullet"/>
        <w:spacing w:before="20" w:after="40"/>
      </w:pPr>
      <w:r>
        <w:rPr>
          <w:color w:val="1F2937"/>
          <w:sz w:val="20"/>
        </w:rPr>
        <w:t>**At T = 523.15\text{ K} (250.0^\circ\text{C}):**</w:t>
      </w:r>
    </w:p>
    <w:p>
      <w:pPr>
        <w:spacing w:before="80" w:after="80"/>
        <w:jc w:val="center"/>
      </w:pPr>
      <w:r>
        <w:rPr>
          <w:i/>
          <w:color w:val="475569"/>
          <w:sz w:val="20"/>
        </w:rPr>
        <w:t>\log_{10} K_{eq1} = -4.7313 \implies \mathbf{K_{eq1} = 1.8563 \times 10^{-5}\text{ bar}^{-2}}</w:t>
      </w:r>
    </w:p>
    <w:p>
      <w:pPr>
        <w:spacing w:before="200" w:after="80"/>
      </w:pPr>
      <w:r>
        <w:rPr>
          <w:b/>
          <w:color w:val="475569"/>
          <w:sz w:val="24"/>
        </w:rPr>
        <w:t xml:space="preserve"> 3.2 Reverse Water-Gas Shift (K{eq2}): Graaf et al. (1986)</w:t>
      </w:r>
    </w:p>
    <w:p>
      <w:pPr>
        <w:spacing w:before="80" w:after="80"/>
        <w:jc w:val="center"/>
      </w:pPr>
      <w:r>
        <w:rPr>
          <w:i/>
          <w:color w:val="475569"/>
          <w:sz w:val="20"/>
        </w:rPr>
        <w:t>\log_{10} K_{eq2} = -\frac{2073}{T} + 2.029 \implies K_{eq2} = 10^{\left(-\frac{2073}{T} + 2.029\right)} \quad [-]</w:t>
      </w:r>
    </w:p>
    <w:p>
      <w:pPr>
        <w:pStyle w:val="ListBullet"/>
        <w:spacing w:before="20" w:after="40"/>
      </w:pPr>
      <w:r>
        <w:rPr>
          <w:color w:val="1F2937"/>
          <w:sz w:val="20"/>
        </w:rPr>
        <w:t>**At T = 523.15\text{ K} (250.0^\circ\text{C}):**</w:t>
      </w:r>
    </w:p>
    <w:p>
      <w:pPr>
        <w:spacing w:before="80" w:after="80"/>
        <w:jc w:val="center"/>
      </w:pPr>
      <w:r>
        <w:rPr>
          <w:i/>
          <w:color w:val="475569"/>
          <w:sz w:val="20"/>
        </w:rPr>
        <w:t>\log_{10} K_{eq2} = -1.9335 \implies \mathbf{K_{eq2} = 0.011654}</w:t>
      </w:r>
    </w:p>
    <w:p>
      <w:pPr>
        <w:spacing w:before="200" w:after="80"/>
      </w:pPr>
      <w:r>
        <w:rPr>
          <w:b/>
          <w:color w:val="475569"/>
          <w:sz w:val="24"/>
        </w:rPr>
        <w:t xml:space="preserve"> 3.3 Methanol Dehydration (K{p,3}): W. Lu et al. (2004) / Poto et al. (2021)</w:t>
      </w:r>
    </w:p>
    <w:p>
      <w:pPr>
        <w:spacing w:before="80" w:after="80"/>
        <w:jc w:val="center"/>
      </w:pPr>
      <w:r>
        <w:rPr>
          <w:i/>
          <w:color w:val="475569"/>
          <w:sz w:val="20"/>
        </w:rPr>
        <w:t>\ln K_{p,3} = \frac{4019}{T} + 3.707 \ln T - 2.783 \times 10^{-3} T + 3.8 \times 10^{-7} T^2 - \frac{6.561 \times 10^4}{T^3} - 26.64 \quad [-]</w:t>
      </w:r>
    </w:p>
    <w:p>
      <w:pPr>
        <w:pStyle w:val="ListBullet"/>
        <w:spacing w:before="20" w:after="40"/>
      </w:pPr>
      <w:r>
        <w:rPr>
          <w:color w:val="1F2937"/>
          <w:sz w:val="20"/>
        </w:rPr>
        <w:t>**At T = 523.15\text{ K} (250.0^\circ\text{C}):**</w:t>
      </w:r>
    </w:p>
    <w:p>
      <w:pPr>
        <w:spacing w:before="80" w:after="80"/>
        <w:jc w:val="center"/>
      </w:pPr>
      <w:r>
        <w:rPr>
          <w:i/>
          <w:color w:val="475569"/>
          <w:sz w:val="20"/>
        </w:rPr>
        <w:t>\ln K_{p,3} = 2.8953 \implies \mathbf{K_{p,3} = 18.0881}</w:t>
      </w:r>
    </w:p>
    <w:p>
      <w:pPr>
        <w:spacing w:before="280" w:after="120"/>
      </w:pPr>
      <w:r>
        <w:rPr>
          <w:b/>
          <w:color w:val="475569"/>
          <w:sz w:val="28"/>
        </w:rPr>
        <w:t xml:space="preserve"> 4. Chemical Reaction Kinetics &amp; Adsorption Formulations</w:t>
      </w:r>
    </w:p>
    <w:p>
      <w:pPr>
        <w:spacing w:before="200" w:after="80"/>
      </w:pPr>
      <w:r>
        <w:rPr>
          <w:b/>
          <w:color w:val="475569"/>
          <w:sz w:val="24"/>
        </w:rPr>
        <w:t xml:space="preserve"> 4.1 Reactions 1 &amp; 2: Mignard &amp; Pritchard (2008) Langmuir-Hinshelwood Kinetics</w:t>
      </w:r>
    </w:p>
    <w:p>
      <w:pPr>
        <w:spacing w:before="40" w:after="80"/>
      </w:pPr>
      <w:r>
        <w:rPr>
          <w:color w:val="1F2937"/>
          <w:sz w:val="20"/>
        </w:rPr>
        <w:t>Evaluated over commercial \text{Cu/ZnO/Al}_2\text{O}_3 catalyst:</w:t>
      </w:r>
    </w:p>
    <w:p>
      <w:pPr>
        <w:spacing w:before="80" w:after="80"/>
        <w:jc w:val="center"/>
      </w:pPr>
      <w:r>
        <w:rPr>
          <w:i/>
          <w:color w:val="475569"/>
          <w:sz w:val="20"/>
        </w:rPr>
        <w:t>r_1 = \frac{k_1 p_{\text{CO}_2} p_{\text{H}_2} \left[ 1 - \frac{p_{\text{H}_2\text{O}} p_{\text{CH}_3\text{OH}}}{K_{eq1} p_{\text{H}_2}^3 p_{\text{CO}_2}} \right]}{D_k^3} \quad \left[\frac{\text{mol}}{\text{kg}_{\text{cat}}\cdot\text{s}}\right]</w:t>
      </w:r>
    </w:p>
    <w:p>
      <w:pPr>
        <w:spacing w:before="80" w:after="80"/>
        <w:jc w:val="center"/>
      </w:pPr>
      <w:r>
        <w:rPr>
          <w:i/>
          <w:color w:val="475569"/>
          <w:sz w:val="20"/>
        </w:rPr>
        <w:t>r_2 = \frac{k_2 p_{\text{CO}_2} \left[ 1 - \frac{p_{\text{H}_2\text{O}} p_{\text{CO}}}{K_{eq2} p_{\text{H}_2} p_{\text{CO}_2}} \right]}{D_k} \quad \left[\frac{\text{mol}}{\text{kg}_{\text{cat}}\cdot\text{s}}\right]</w:t>
      </w:r>
    </w:p>
    <w:p>
      <w:pPr>
        <w:spacing w:before="160" w:after="60"/>
      </w:pPr>
      <w:r>
        <w:rPr>
          <w:b/>
          <w:color w:val="475569"/>
          <w:sz w:val="22"/>
        </w:rPr>
        <w:t xml:space="preserve"> Competitive Adsorption Denominator (Dk):</w:t>
      </w:r>
    </w:p>
    <w:p>
      <w:pPr>
        <w:spacing w:before="80" w:after="80"/>
        <w:jc w:val="center"/>
      </w:pPr>
      <w:r>
        <w:rPr>
          <w:i/>
          <w:color w:val="475569"/>
          <w:sz w:val="20"/>
        </w:rPr>
        <w:t>D_k = 1 + K_{\text{H}_2\text{O},\text{H}_2} \left(\frac{p_{\text{H}_2\text{O}}}{p_{\text{H}_2}}\right) + \sqrt{K_{\text{H}_2} p_{\text{H}_2}} + K_{\text{H}_2\text{O}} p_{\text{H}_2\text{O}}</w:t>
      </w:r>
    </w:p>
    <w:p>
      <w:pPr>
        <w:spacing w:before="160" w:after="60"/>
      </w:pPr>
      <w:r>
        <w:rPr>
          <w:b/>
          <w:color w:val="475569"/>
          <w:sz w:val="22"/>
        </w:rPr>
        <w:t xml:space="preserve"> Temperature-Dependent Kinetic Parameters (R = 8.314462\text{ J}/(\text{mol}\cdot\text{K})):</w:t>
      </w:r>
    </w:p>
    <w:p>
      <w:pPr>
        <w:spacing w:before="80" w:after="80"/>
        <w:jc w:val="center"/>
      </w:pPr>
      <w:r>
        <w:rPr>
          <w:i/>
          <w:color w:val="475569"/>
          <w:sz w:val="20"/>
        </w:rPr>
        <w:t>k_1 = 1.07 \exp\left(\frac{40000}{R T}\right) \implies k_1(523.15\text{ K}) = 10547.79\text{ mol}/(\text{kg}_{\text{cat}}\cdot\text{s}\cdot\text{bar}^2)</w:t>
      </w:r>
    </w:p>
    <w:p>
      <w:pPr>
        <w:spacing w:before="80" w:after="80"/>
        <w:jc w:val="center"/>
      </w:pPr>
      <w:r>
        <w:rPr>
          <w:i/>
          <w:color w:val="475569"/>
          <w:sz w:val="20"/>
        </w:rPr>
        <w:t>k_2 = 1.22 \times 10^{10} \exp\left(-\frac{98084}{R T}\right) \implies k_2(523.15\text{ K}) = 1.9643\text{ mol}/(\text{kg}_{\text{cat}}\cdot\text{s}\cdot\text{bar})</w:t>
      </w:r>
    </w:p>
    <w:p>
      <w:pPr>
        <w:spacing w:before="80" w:after="80"/>
        <w:jc w:val="center"/>
      </w:pPr>
      <w:r>
        <w:rPr>
          <w:i/>
          <w:color w:val="475569"/>
          <w:sz w:val="20"/>
        </w:rPr>
        <w:t>K_{\text{H}_2\text{O}} = 6.62 \times 10^{-11} \exp\left(\frac{124119}{R T}\right) \implies K_{\text{H}_2\text{O}}(523.15\text{ K}) = 16.143\text{ bar}^{-1}</w:t>
      </w:r>
    </w:p>
    <w:p>
      <w:pPr>
        <w:spacing w:before="80" w:after="80"/>
        <w:jc w:val="center"/>
      </w:pPr>
      <w:r>
        <w:rPr>
          <w:i/>
          <w:color w:val="475569"/>
          <w:sz w:val="20"/>
        </w:rPr>
        <w:t>\sqrt{K_{\text{H}_2}} = 0.499 \exp\left(\frac{17197}{R T}\right) \implies \sqrt{K_{\text{H}_2}}(523.15\text{ K}) = 2.628\text{ bar}^{-0.5}</w:t>
      </w:r>
    </w:p>
    <w:p>
      <w:pPr>
        <w:spacing w:before="80" w:after="80"/>
        <w:jc w:val="center"/>
      </w:pPr>
      <w:r>
        <w:rPr>
          <w:i/>
          <w:color w:val="475569"/>
          <w:sz w:val="20"/>
        </w:rPr>
        <w:t>K_{\text{H}_2\text{O},\text{H}_2} = 3453.38 \quad [-]</w:t>
      </w:r>
    </w:p>
    <w:p>
      <w:pPr>
        <w:spacing w:before="200" w:after="80"/>
      </w:pPr>
      <w:r>
        <w:rPr>
          <w:b/>
          <w:color w:val="475569"/>
          <w:sz w:val="24"/>
        </w:rPr>
        <w:t xml:space="preserve"> 4.2 Reaction 3: Solid Acid Methanol Dehydration (Lu et al. 2004 / Poto et al. 2021)</w:t>
      </w:r>
    </w:p>
    <w:p>
      <w:pPr>
        <w:spacing w:before="40" w:after="80"/>
      </w:pPr>
      <w:r>
        <w:rPr>
          <w:color w:val="1F2937"/>
          <w:sz w:val="20"/>
        </w:rPr>
        <w:t>Evaluated over \text{H-ZSM-5} solid acid zeolite:</w:t>
      </w:r>
    </w:p>
    <w:p>
      <w:pPr>
        <w:spacing w:before="80" w:after="80"/>
        <w:jc w:val="center"/>
      </w:pPr>
      <w:r>
        <w:rPr>
          <w:i/>
          <w:color w:val="475569"/>
          <w:sz w:val="20"/>
        </w:rPr>
        <w:t>r_3 = k_3 \left( \frac{p_{\text{CH}_3\text{OH}}^2}{p_{\text{H}_2\text{O},\text{safe}}} - \frac{p_{\text{DME}}}{K_{p,3}} \right) \quad \left[\frac{\text{mol}}{\text{kg}_{\text{cat}}\cdot\text{s}}\right]</w:t>
      </w:r>
    </w:p>
    <w:p>
      <w:pPr>
        <w:spacing w:before="160" w:after="60"/>
      </w:pPr>
      <w:r>
        <w:rPr>
          <w:b/>
          <w:color w:val="475569"/>
          <w:sz w:val="22"/>
        </w:rPr>
        <w:t xml:space="preserve"> Reaction Rate Constant (k3):</w:t>
      </w:r>
    </w:p>
    <w:p>
      <w:pPr>
        <w:spacing w:before="80" w:after="80"/>
        <w:jc w:val="center"/>
      </w:pPr>
      <w:r>
        <w:rPr>
          <w:i/>
          <w:color w:val="475569"/>
          <w:sz w:val="20"/>
        </w:rPr>
        <w:t>k_3 = 8.2894 \times 10^4 \exp\left(-\frac{5.2940 \times 10^4}{R T}\right) \quad \left[\frac{\text{kmol}}{\text{kg}_{\text{cat}}\cdot\text{s}\cdot\text{bar}}\right]</w:t>
      </w:r>
    </w:p>
    <w:p>
      <w:pPr>
        <w:spacing w:before="80" w:after="80"/>
        <w:jc w:val="center"/>
      </w:pPr>
      <w:r>
        <w:rPr>
          <w:i/>
          <w:color w:val="475569"/>
          <w:sz w:val="20"/>
        </w:rPr>
        <w:t>k_3 = 8.2894 \times 10^7 \exp\left(-\frac{5.2940 \times 10^4}{R T}\right) \quad \left[\frac{\text{mol}}{\text{kg}_{\text{cat}}\cdot\text{s}\cdot\text{bar}}\right]</w:t>
      </w:r>
    </w:p>
    <w:p>
      <w:pPr>
        <w:pStyle w:val="ListBullet"/>
        <w:spacing w:before="20" w:after="40"/>
      </w:pPr>
      <w:r>
        <w:rPr>
          <w:color w:val="1F2937"/>
          <w:sz w:val="20"/>
        </w:rPr>
        <w:t>**Activation Energy:** E_{a,3} = 5.2940 \times 10^4\text{ J/mol} = 52.94\text{ kJ/mol}</w:t>
      </w:r>
    </w:p>
    <w:p>
      <w:pPr>
        <w:pStyle w:val="ListBullet"/>
        <w:spacing w:before="20" w:after="40"/>
      </w:pPr>
      <w:r>
        <w:rPr>
          <w:color w:val="1F2937"/>
          <w:sz w:val="20"/>
        </w:rPr>
        <w:t>**Value at T = 523.15\text{ K} (250.0^\circ\text{C}):**</w:t>
      </w:r>
    </w:p>
    <w:p>
      <w:pPr>
        <w:spacing w:before="80" w:after="80"/>
        <w:jc w:val="center"/>
      </w:pPr>
      <w:r>
        <w:rPr>
          <w:i/>
          <w:color w:val="475569"/>
          <w:sz w:val="20"/>
        </w:rPr>
        <w:t>k_3 = \mathbf{429.2974\text{ mol}/(\text{kg}_{\text{cat}}\cdot\text{s}\cdot\text{bar})} = \mathbf{0.4293\text{ kmol}/(\text{kg}_{\text{cat}}\cdot\text{s}\cdot\text{bar})}</w:t>
      </w:r>
    </w:p>
    <w:p>
      <w:pPr>
        <w:pStyle w:val="ListBullet"/>
        <w:spacing w:before="20" w:after="40"/>
      </w:pPr>
      <w:r>
        <w:rPr>
          <w:color w:val="1F2937"/>
          <w:sz w:val="20"/>
        </w:rPr>
        <w:t>**Numerical Inlet Safeguard:**</w:t>
      </w:r>
    </w:p>
    <w:p>
      <w:pPr>
        <w:spacing w:before="80" w:after="80"/>
        <w:jc w:val="center"/>
      </w:pPr>
      <w:r>
        <w:rPr>
          <w:i/>
          <w:color w:val="475569"/>
          <w:sz w:val="20"/>
        </w:rPr>
        <w:t>p_{\text{H}_2\text{O},\text{safe}} = \max(p_{\text{H}_2\text{O}}, 10^{-6}\text{ bar})</w:t>
      </w:r>
    </w:p>
    <w:p>
      <w:pPr>
        <w:spacing w:before="280" w:after="120"/>
      </w:pPr>
      <w:r>
        <w:rPr>
          <w:b/>
          <w:color w:val="475569"/>
          <w:sz w:val="28"/>
        </w:rPr>
        <w:t xml:space="preserve"> 5. One-Dimensional Multi-Component Transport Model</w:t>
      </w:r>
    </w:p>
    <w:p>
      <w:pPr>
        <w:spacing w:before="40" w:after="80"/>
      </w:pPr>
      <w:r>
        <w:rPr>
          <w:color w:val="1F2937"/>
          <w:sz w:val="20"/>
        </w:rPr>
        <w:t>The reactor is resolved as a 1D steady-state plug-flow system tracking six chemical species:</w:t>
      </w:r>
    </w:p>
    <w:p>
      <w:pPr>
        <w:spacing w:before="80" w:after="80"/>
        <w:jc w:val="center"/>
      </w:pPr>
      <w:r>
        <w:rPr>
          <w:i/>
          <w:color w:val="475569"/>
          <w:sz w:val="20"/>
        </w:rPr>
        <w:t>\vec{y} = [\text{CO}_2, \text{H}_2, \text{H}_2\text{O}, \text{CH}_3\text{OH}, \text{CO}, \text{CH}_3\text{OCH}_3]^T</w:t>
      </w:r>
    </w:p>
    <w:p>
      <w:pPr>
        <w:spacing w:before="200" w:after="80"/>
      </w:pPr>
      <w:r>
        <w:rPr>
          <w:b/>
          <w:color w:val="475569"/>
          <w:sz w:val="24"/>
        </w:rPr>
        <w:t xml:space="preserve"> 5.1 Retentate Catalyst Channel Mass Balance (z \in [0, L])</w:t>
      </w:r>
    </w:p>
    <w:p>
      <w:pPr>
        <w:spacing w:before="80" w:after="80"/>
        <w:jc w:val="center"/>
      </w:pPr>
      <w:r>
        <w:rPr>
          <w:i/>
          <w:color w:val="475569"/>
          <w:sz w:val="20"/>
        </w:rPr>
        <w:t>\frac{d F_{\text{ret},i}}{dz} = \rho_B A_c r_{\text{net},i} - J_i P_m</w:t>
      </w:r>
    </w:p>
    <w:p>
      <w:pPr>
        <w:spacing w:before="200" w:after="80"/>
      </w:pPr>
      <w:r>
        <w:rPr>
          <w:b/>
          <w:color w:val="475569"/>
          <w:sz w:val="24"/>
        </w:rPr>
        <w:t xml:space="preserve"> 5.2 Permeate Sweep Channel Mass Balance (z \in [0, L])</w:t>
      </w:r>
    </w:p>
    <w:p>
      <w:pPr>
        <w:spacing w:before="80" w:after="80"/>
        <w:jc w:val="center"/>
      </w:pPr>
      <w:r>
        <w:rPr>
          <w:i/>
          <w:color w:val="475569"/>
          <w:sz w:val="20"/>
        </w:rPr>
        <w:t>\frac{d F_{\text{perm},i}}{dz} = + J_i P_m</w:t>
      </w:r>
    </w:p>
    <w:p>
      <w:pPr>
        <w:spacing w:before="40" w:after="80"/>
      </w:pPr>
      <w:r>
        <w:rPr>
          <w:color w:val="1F2937"/>
          <w:sz w:val="20"/>
        </w:rPr>
        <w:t>Where:</w:t>
      </w:r>
    </w:p>
    <w:p>
      <w:pPr>
        <w:pStyle w:val="ListBullet"/>
        <w:spacing w:before="20" w:after="40"/>
      </w:pPr>
      <w:r>
        <w:rPr>
          <w:color w:val="1F2937"/>
          <w:sz w:val="20"/>
        </w:rPr>
        <w:t>\rho_B = 1200.0\text{ kg/m}^3: Catalyst bulk packing density</w:t>
      </w:r>
    </w:p>
    <w:p>
      <w:pPr>
        <w:pStyle w:val="ListBullet"/>
        <w:spacing w:before="20" w:after="40"/>
      </w:pPr>
      <w:r>
        <w:rPr>
          <w:color w:val="1F2937"/>
          <w:sz w:val="20"/>
        </w:rPr>
        <w:t>A_c = 2.3562 \times 10^{-4}\text{ m}^2: Cross-sectional active bed area</w:t>
      </w:r>
    </w:p>
    <w:p>
      <w:pPr>
        <w:pStyle w:val="ListBullet"/>
        <w:spacing w:before="20" w:after="40"/>
      </w:pPr>
      <w:r>
        <w:rPr>
          <w:color w:val="1F2937"/>
          <w:sz w:val="20"/>
        </w:rPr>
        <w:t>P_m: Total membrane wetted perimeter (\text{m})</w:t>
      </w:r>
    </w:p>
    <w:p>
      <w:pPr>
        <w:pStyle w:val="ListBullet"/>
        <w:spacing w:before="20" w:after="40"/>
      </w:pPr>
      <w:r>
        <w:rPr>
          <w:color w:val="1F2937"/>
          <w:sz w:val="20"/>
        </w:rPr>
        <w:t>J_i: Transmembrane permeation flux (\text{mol}/(\text{m}^2\cdot\text{s}))</w:t>
      </w:r>
    </w:p>
    <w:p>
      <w:pPr>
        <w:spacing w:before="200" w:after="80"/>
      </w:pPr>
      <w:r>
        <w:rPr>
          <w:b/>
          <w:color w:val="475569"/>
          <w:sz w:val="24"/>
        </w:rPr>
        <w:t xml:space="preserve"> 5.3 Transmembrane Permeation Flux Equation</w:t>
      </w:r>
    </w:p>
    <w:p>
      <w:pPr>
        <w:spacing w:before="80" w:after="80"/>
        <w:jc w:val="center"/>
      </w:pPr>
      <w:r>
        <w:rPr>
          <w:i/>
          <w:color w:val="475569"/>
          <w:sz w:val="20"/>
        </w:rPr>
        <w:t>J_i = \Pi_i (p_{\text{ret},i} - p_{\text{perm},i}) = \frac{\Pi_{\text{H}_2\text{O}}}{\alpha_i} \left( \frac{F_{\text{ret},i}}{\sum F_{\text{ret}}} P_{\text{ret}} - \frac{F_{\text{perm},i}}{\sum F_{\text{perm}} + F_{\text{sweep}}} P_{\text{perm}} \right)</w:t>
      </w:r>
    </w:p>
    <w:p>
      <w:pPr>
        <w:spacing w:before="160" w:after="60"/>
      </w:pPr>
      <w:r>
        <w:rPr>
          <w:b/>
          <w:color w:val="475569"/>
          <w:sz w:val="22"/>
        </w:rPr>
        <w:t xml:space="preserve"> Membrane Separation Parameters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1F5F9"/>
            <w:tcBorders>
              <w:top w:val="single" w:sz="4" w:space="0" w:color="CBD5E1"/>
              <w:bottom w:val="single" w:sz="4" w:space="0" w:color="CBD5E1"/>
              <w:left w:val="none"/>
              <w:right w:val="none"/>
            </w:tcBorders>
          </w:tcPr>
          <w:p>
            <w:pPr>
              <w:jc w:val="center"/>
            </w:pPr>
            <w:r>
              <w:rPr>
                <w:b/>
                <w:color w:val="475569"/>
                <w:sz w:val="19"/>
              </w:rPr>
              <w:t>Membrane Type</w:t>
            </w:r>
          </w:p>
        </w:tc>
        <w:tc>
          <w:tcPr>
            <w:tcW w:type="dxa" w:w="1170"/>
            <w:shd w:fill="F1F5F9"/>
            <w:tcBorders>
              <w:top w:val="single" w:sz="4" w:space="0" w:color="CBD5E1"/>
              <w:bottom w:val="single" w:sz="4" w:space="0" w:color="CBD5E1"/>
              <w:left w:val="none"/>
              <w:right w:val="none"/>
            </w:tcBorders>
          </w:tcPr>
          <w:p>
            <w:pPr>
              <w:jc w:val="center"/>
            </w:pPr>
            <w:r>
              <w:rPr>
                <w:b/>
                <w:color w:val="475569"/>
                <w:sz w:val="19"/>
              </w:rPr>
              <w:t>Permeance \Pi{\text{H}2\text{O}} (\text{mol}/(\text{m}^2\cdot\text{s}\cdot\text{Pa}))</w:t>
            </w:r>
          </w:p>
        </w:tc>
        <w:tc>
          <w:tcPr>
            <w:tcW w:type="dxa" w:w="1170"/>
            <w:shd w:fill="F1F5F9"/>
            <w:tcBorders>
              <w:top w:val="single" w:sz="4" w:space="0" w:color="CBD5E1"/>
              <w:bottom w:val="single" w:sz="4" w:space="0" w:color="CBD5E1"/>
              <w:left w:val="none"/>
              <w:right w:val="none"/>
            </w:tcBorders>
          </w:tcPr>
          <w:p>
            <w:pPr>
              <w:jc w:val="center"/>
            </w:pPr>
            <w:r>
              <w:rPr>
                <w:b/>
                <w:color w:val="475569"/>
                <w:sz w:val="19"/>
              </w:rPr>
              <w:t>\alpha{\text{CO}2}</w:t>
            </w:r>
          </w:p>
        </w:tc>
        <w:tc>
          <w:tcPr>
            <w:tcW w:type="dxa" w:w="1170"/>
            <w:shd w:fill="F1F5F9"/>
            <w:tcBorders>
              <w:top w:val="single" w:sz="4" w:space="0" w:color="CBD5E1"/>
              <w:bottom w:val="single" w:sz="4" w:space="0" w:color="CBD5E1"/>
              <w:left w:val="none"/>
              <w:right w:val="none"/>
            </w:tcBorders>
          </w:tcPr>
          <w:p>
            <w:pPr>
              <w:jc w:val="center"/>
            </w:pPr>
            <w:r>
              <w:rPr>
                <w:b/>
                <w:color w:val="475569"/>
                <w:sz w:val="19"/>
              </w:rPr>
              <w:t>\alpha{\text{H}2}</w:t>
            </w:r>
          </w:p>
        </w:tc>
        <w:tc>
          <w:tcPr>
            <w:tcW w:type="dxa" w:w="1170"/>
            <w:shd w:fill="F1F5F9"/>
            <w:tcBorders>
              <w:top w:val="single" w:sz="4" w:space="0" w:color="CBD5E1"/>
              <w:bottom w:val="single" w:sz="4" w:space="0" w:color="CBD5E1"/>
              <w:left w:val="none"/>
              <w:right w:val="none"/>
            </w:tcBorders>
          </w:tcPr>
          <w:p>
            <w:pPr>
              <w:jc w:val="center"/>
            </w:pPr>
            <w:r>
              <w:rPr>
                <w:b/>
                <w:color w:val="475569"/>
                <w:sz w:val="19"/>
              </w:rPr>
              <w:t>\alpha{\text{CH}3\text{OH}}</w:t>
            </w:r>
          </w:p>
        </w:tc>
        <w:tc>
          <w:tcPr>
            <w:tcW w:type="dxa" w:w="1170"/>
            <w:shd w:fill="F1F5F9"/>
            <w:tcBorders>
              <w:top w:val="single" w:sz="4" w:space="0" w:color="CBD5E1"/>
              <w:bottom w:val="single" w:sz="4" w:space="0" w:color="CBD5E1"/>
              <w:left w:val="none"/>
              <w:right w:val="none"/>
            </w:tcBorders>
          </w:tcPr>
          <w:p>
            <w:pPr>
              <w:jc w:val="center"/>
            </w:pPr>
            <w:r>
              <w:rPr>
                <w:b/>
                <w:color w:val="475569"/>
                <w:sz w:val="19"/>
              </w:rPr>
              <w:t>\alpha{\text{CO}}</w:t>
            </w:r>
          </w:p>
        </w:tc>
        <w:tc>
          <w:tcPr>
            <w:tcW w:type="dxa" w:w="1170"/>
            <w:shd w:fill="F1F5F9"/>
            <w:tcBorders>
              <w:top w:val="single" w:sz="4" w:space="0" w:color="CBD5E1"/>
              <w:bottom w:val="single" w:sz="4" w:space="0" w:color="CBD5E1"/>
              <w:left w:val="none"/>
              <w:right w:val="none"/>
            </w:tcBorders>
          </w:tcPr>
          <w:p>
            <w:pPr>
              <w:jc w:val="center"/>
            </w:pPr>
            <w:r>
              <w:rPr>
                <w:b/>
                <w:color w:val="475569"/>
                <w:sz w:val="19"/>
              </w:rPr>
              <w:t>\alpha{\text{DME}}</w:t>
            </w:r>
          </w:p>
        </w:tc>
        <w:tc>
          <w:tcPr>
            <w:tcW w:type="dxa" w:w="1170"/>
            <w:shd w:fill="F1F5F9"/>
            <w:tcBorders>
              <w:top w:val="single" w:sz="4" w:space="0" w:color="CBD5E1"/>
              <w:bottom w:val="single" w:sz="4" w:space="0" w:color="CBD5E1"/>
              <w:left w:val="none"/>
              <w:right w:val="none"/>
            </w:tcBorders>
          </w:tcPr>
          <w:p>
            <w:pPr>
              <w:jc w:val="center"/>
            </w:pPr>
            <w:r>
              <w:rPr>
                <w:b/>
                <w:color w:val="475569"/>
                <w:sz w:val="19"/>
              </w:rPr>
              <w:t>Citation Provenance</w:t>
            </w:r>
          </w:p>
        </w:tc>
      </w:tr>
      <w:tr>
        <w:tc>
          <w:tcPr>
            <w:tcW w:type="dxa" w:w="1170"/>
            <w:tcBorders>
              <w:top w:val="single" w:sz="4" w:space="0" w:color="CBD5E1"/>
              <w:bottom w:val="single" w:sz="4" w:space="0" w:color="CBD5E1"/>
              <w:left w:val="none"/>
              <w:right w:val="none"/>
            </w:tcBorders>
          </w:tcPr>
          <w:p>
            <w:r>
              <w:rPr>
                <w:color w:val="1F2937"/>
                <w:sz w:val="18"/>
              </w:rPr>
              <w:t>NaA Zeolite (Primary)</w:t>
            </w:r>
          </w:p>
        </w:tc>
        <w:tc>
          <w:tcPr>
            <w:tcW w:type="dxa" w:w="1170"/>
            <w:tcBorders>
              <w:top w:val="single" w:sz="4" w:space="0" w:color="CBD5E1"/>
              <w:bottom w:val="single" w:sz="4" w:space="0" w:color="CBD5E1"/>
              <w:left w:val="none"/>
              <w:right w:val="none"/>
            </w:tcBorders>
          </w:tcPr>
          <w:p>
            <w:pPr>
              <w:jc w:val="center"/>
            </w:pPr>
            <w:r>
              <w:rPr>
                <w:color w:val="1F2937"/>
                <w:sz w:val="18"/>
              </w:rPr>
              <w:t>1.8 \times 10^{-7}</w:t>
            </w:r>
          </w:p>
        </w:tc>
        <w:tc>
          <w:tcPr>
            <w:tcW w:type="dxa" w:w="1170"/>
            <w:tcBorders>
              <w:top w:val="single" w:sz="4" w:space="0" w:color="CBD5E1"/>
              <w:bottom w:val="single" w:sz="4" w:space="0" w:color="CBD5E1"/>
              <w:left w:val="none"/>
              <w:right w:val="none"/>
            </w:tcBorders>
          </w:tcPr>
          <w:p>
            <w:pPr>
              <w:jc w:val="center"/>
            </w:pPr>
            <w:r>
              <w:rPr>
                <w:color w:val="1F2937"/>
                <w:sz w:val="18"/>
              </w:rPr>
              <w:t>1000</w:t>
            </w:r>
          </w:p>
        </w:tc>
        <w:tc>
          <w:tcPr>
            <w:tcW w:type="dxa" w:w="1170"/>
            <w:tcBorders>
              <w:top w:val="single" w:sz="4" w:space="0" w:color="CBD5E1"/>
              <w:bottom w:val="single" w:sz="4" w:space="0" w:color="CBD5E1"/>
              <w:left w:val="none"/>
              <w:right w:val="none"/>
            </w:tcBorders>
          </w:tcPr>
          <w:p>
            <w:pPr>
              <w:jc w:val="center"/>
            </w:pPr>
            <w:r>
              <w:rPr>
                <w:color w:val="1F2937"/>
                <w:sz w:val="18"/>
              </w:rPr>
              <w:t>100</w:t>
            </w:r>
          </w:p>
        </w:tc>
        <w:tc>
          <w:tcPr>
            <w:tcW w:type="dxa" w:w="1170"/>
            <w:tcBorders>
              <w:top w:val="single" w:sz="4" w:space="0" w:color="CBD5E1"/>
              <w:bottom w:val="single" w:sz="4" w:space="0" w:color="CBD5E1"/>
              <w:left w:val="none"/>
              <w:right w:val="none"/>
            </w:tcBorders>
          </w:tcPr>
          <w:p>
            <w:pPr>
              <w:jc w:val="center"/>
            </w:pPr>
            <w:r>
              <w:rPr>
                <w:color w:val="1F2937"/>
                <w:sz w:val="18"/>
              </w:rPr>
              <w:t>1000</w:t>
            </w:r>
          </w:p>
        </w:tc>
        <w:tc>
          <w:tcPr>
            <w:tcW w:type="dxa" w:w="1170"/>
            <w:tcBorders>
              <w:top w:val="single" w:sz="4" w:space="0" w:color="CBD5E1"/>
              <w:bottom w:val="single" w:sz="4" w:space="0" w:color="CBD5E1"/>
              <w:left w:val="none"/>
              <w:right w:val="none"/>
            </w:tcBorders>
          </w:tcPr>
          <w:p>
            <w:pPr>
              <w:jc w:val="center"/>
            </w:pPr>
            <w:r>
              <w:rPr>
                <w:color w:val="1F2937"/>
                <w:sz w:val="18"/>
              </w:rPr>
              <w:t>1000</w:t>
            </w:r>
          </w:p>
        </w:tc>
        <w:tc>
          <w:tcPr>
            <w:tcW w:type="dxa" w:w="1170"/>
            <w:tcBorders>
              <w:top w:val="single" w:sz="4" w:space="0" w:color="CBD5E1"/>
              <w:bottom w:val="single" w:sz="4" w:space="0" w:color="CBD5E1"/>
              <w:left w:val="none"/>
              <w:right w:val="none"/>
            </w:tcBorders>
          </w:tcPr>
          <w:p>
            <w:pPr>
              <w:jc w:val="center"/>
            </w:pPr>
            <w:r>
              <w:rPr>
                <w:color w:val="1F2937"/>
                <w:sz w:val="18"/>
              </w:rPr>
              <w:t>10000</w:t>
            </w:r>
          </w:p>
        </w:tc>
        <w:tc>
          <w:tcPr>
            <w:tcW w:type="dxa" w:w="1170"/>
            <w:tcBorders>
              <w:top w:val="single" w:sz="4" w:space="0" w:color="CBD5E1"/>
              <w:bottom w:val="single" w:sz="4" w:space="0" w:color="CBD5E1"/>
              <w:left w:val="none"/>
              <w:right w:val="none"/>
            </w:tcBorders>
          </w:tcPr>
          <w:p>
            <w:pPr>
              <w:jc w:val="center"/>
            </w:pPr>
            <w:r>
              <w:rPr>
                <w:color w:val="1F2937"/>
                <w:sz w:val="18"/>
              </w:rPr>
              <w:t>Richard et al. (2025); Li et al. (2020)</w:t>
            </w:r>
          </w:p>
        </w:tc>
      </w:tr>
      <w:tr>
        <w:tc>
          <w:tcPr>
            <w:tcW w:type="dxa" w:w="1170"/>
            <w:tcBorders>
              <w:top w:val="single" w:sz="4" w:space="0" w:color="CBD5E1"/>
              <w:bottom w:val="single" w:sz="4" w:space="0" w:color="CBD5E1"/>
              <w:left w:val="none"/>
              <w:right w:val="none"/>
            </w:tcBorders>
          </w:tcPr>
          <w:p>
            <w:r>
              <w:rPr>
                <w:color w:val="1F2937"/>
                <w:sz w:val="18"/>
              </w:rPr>
              <w:t>LTA Zeolite</w:t>
            </w:r>
          </w:p>
        </w:tc>
        <w:tc>
          <w:tcPr>
            <w:tcW w:type="dxa" w:w="1170"/>
            <w:tcBorders>
              <w:top w:val="single" w:sz="4" w:space="0" w:color="CBD5E1"/>
              <w:bottom w:val="single" w:sz="4" w:space="0" w:color="CBD5E1"/>
              <w:left w:val="none"/>
              <w:right w:val="none"/>
            </w:tcBorders>
          </w:tcPr>
          <w:p>
            <w:pPr>
              <w:jc w:val="center"/>
            </w:pPr>
            <w:r>
              <w:rPr>
                <w:color w:val="1F2937"/>
                <w:sz w:val="18"/>
              </w:rPr>
              <w:t>2.0 \times 10^{-7}</w:t>
            </w:r>
          </w:p>
        </w:tc>
        <w:tc>
          <w:tcPr>
            <w:tcW w:type="dxa" w:w="1170"/>
            <w:tcBorders>
              <w:top w:val="single" w:sz="4" w:space="0" w:color="CBD5E1"/>
              <w:bottom w:val="single" w:sz="4" w:space="0" w:color="CBD5E1"/>
              <w:left w:val="none"/>
              <w:right w:val="none"/>
            </w:tcBorders>
          </w:tcPr>
          <w:p>
            <w:pPr>
              <w:jc w:val="center"/>
            </w:pPr>
            <w:r>
              <w:rPr>
                <w:color w:val="1F2937"/>
                <w:sz w:val="18"/>
              </w:rPr>
              <w:t>800</w:t>
            </w:r>
          </w:p>
        </w:tc>
        <w:tc>
          <w:tcPr>
            <w:tcW w:type="dxa" w:w="1170"/>
            <w:tcBorders>
              <w:top w:val="single" w:sz="4" w:space="0" w:color="CBD5E1"/>
              <w:bottom w:val="single" w:sz="4" w:space="0" w:color="CBD5E1"/>
              <w:left w:val="none"/>
              <w:right w:val="none"/>
            </w:tcBorders>
          </w:tcPr>
          <w:p>
            <w:pPr>
              <w:jc w:val="center"/>
            </w:pPr>
            <w:r>
              <w:rPr>
                <w:color w:val="1F2937"/>
                <w:sz w:val="18"/>
              </w:rPr>
              <w:t>80</w:t>
            </w:r>
          </w:p>
        </w:tc>
        <w:tc>
          <w:tcPr>
            <w:tcW w:type="dxa" w:w="1170"/>
            <w:tcBorders>
              <w:top w:val="single" w:sz="4" w:space="0" w:color="CBD5E1"/>
              <w:bottom w:val="single" w:sz="4" w:space="0" w:color="CBD5E1"/>
              <w:left w:val="none"/>
              <w:right w:val="none"/>
            </w:tcBorders>
          </w:tcPr>
          <w:p>
            <w:pPr>
              <w:jc w:val="center"/>
            </w:pPr>
            <w:r>
              <w:rPr>
                <w:color w:val="1F2937"/>
                <w:sz w:val="18"/>
              </w:rPr>
              <w:t>800</w:t>
            </w:r>
          </w:p>
        </w:tc>
        <w:tc>
          <w:tcPr>
            <w:tcW w:type="dxa" w:w="1170"/>
            <w:tcBorders>
              <w:top w:val="single" w:sz="4" w:space="0" w:color="CBD5E1"/>
              <w:bottom w:val="single" w:sz="4" w:space="0" w:color="CBD5E1"/>
              <w:left w:val="none"/>
              <w:right w:val="none"/>
            </w:tcBorders>
          </w:tcPr>
          <w:p>
            <w:pPr>
              <w:jc w:val="center"/>
            </w:pPr>
            <w:r>
              <w:rPr>
                <w:color w:val="1F2937"/>
                <w:sz w:val="18"/>
              </w:rPr>
              <w:t>800</w:t>
            </w:r>
          </w:p>
        </w:tc>
        <w:tc>
          <w:tcPr>
            <w:tcW w:type="dxa" w:w="1170"/>
            <w:tcBorders>
              <w:top w:val="single" w:sz="4" w:space="0" w:color="CBD5E1"/>
              <w:bottom w:val="single" w:sz="4" w:space="0" w:color="CBD5E1"/>
              <w:left w:val="none"/>
              <w:right w:val="none"/>
            </w:tcBorders>
          </w:tcPr>
          <w:p>
            <w:pPr>
              <w:jc w:val="center"/>
            </w:pPr>
            <w:r>
              <w:rPr>
                <w:color w:val="1F2937"/>
                <w:sz w:val="18"/>
              </w:rPr>
              <w:t>8000</w:t>
            </w:r>
          </w:p>
        </w:tc>
        <w:tc>
          <w:tcPr>
            <w:tcW w:type="dxa" w:w="1170"/>
            <w:tcBorders>
              <w:top w:val="single" w:sz="4" w:space="0" w:color="CBD5E1"/>
              <w:bottom w:val="single" w:sz="4" w:space="0" w:color="CBD5E1"/>
              <w:left w:val="none"/>
              <w:right w:val="none"/>
            </w:tcBorders>
          </w:tcPr>
          <w:p>
            <w:pPr>
              <w:jc w:val="center"/>
            </w:pPr>
            <w:r>
              <w:rPr>
                <w:color w:val="1F2937"/>
                <w:sz w:val="18"/>
              </w:rPr>
              <w:t>Ateka et al. (2021)</w:t>
            </w:r>
          </w:p>
        </w:tc>
      </w:tr>
      <w:tr>
        <w:tc>
          <w:tcPr>
            <w:tcW w:type="dxa" w:w="1170"/>
            <w:tcBorders>
              <w:top w:val="single" w:sz="4" w:space="0" w:color="CBD5E1"/>
              <w:bottom w:val="single" w:sz="4" w:space="0" w:color="CBD5E1"/>
              <w:left w:val="none"/>
              <w:right w:val="none"/>
            </w:tcBorders>
          </w:tcPr>
          <w:p>
            <w:r>
              <w:rPr>
                <w:color w:val="1F2937"/>
                <w:sz w:val="18"/>
              </w:rPr>
              <w:t>CMSM (Carbon)</w:t>
            </w:r>
          </w:p>
        </w:tc>
        <w:tc>
          <w:tcPr>
            <w:tcW w:type="dxa" w:w="1170"/>
            <w:tcBorders>
              <w:top w:val="single" w:sz="4" w:space="0" w:color="CBD5E1"/>
              <w:bottom w:val="single" w:sz="4" w:space="0" w:color="CBD5E1"/>
              <w:left w:val="none"/>
              <w:right w:val="none"/>
            </w:tcBorders>
          </w:tcPr>
          <w:p>
            <w:pPr>
              <w:jc w:val="center"/>
            </w:pPr>
            <w:r>
              <w:rPr>
                <w:color w:val="1F2937"/>
                <w:sz w:val="18"/>
              </w:rPr>
              <w:t>0.6 \times 10^{-7}</w:t>
            </w:r>
          </w:p>
        </w:tc>
        <w:tc>
          <w:tcPr>
            <w:tcW w:type="dxa" w:w="1170"/>
            <w:tcBorders>
              <w:top w:val="single" w:sz="4" w:space="0" w:color="CBD5E1"/>
              <w:bottom w:val="single" w:sz="4" w:space="0" w:color="CBD5E1"/>
              <w:left w:val="none"/>
              <w:right w:val="none"/>
            </w:tcBorders>
          </w:tcPr>
          <w:p>
            <w:pPr>
              <w:jc w:val="center"/>
            </w:pPr>
            <w:r>
              <w:rPr>
                <w:color w:val="1F2937"/>
                <w:sz w:val="18"/>
              </w:rPr>
              <w:t>250</w:t>
            </w:r>
          </w:p>
        </w:tc>
        <w:tc>
          <w:tcPr>
            <w:tcW w:type="dxa" w:w="1170"/>
            <w:tcBorders>
              <w:top w:val="single" w:sz="4" w:space="0" w:color="CBD5E1"/>
              <w:bottom w:val="single" w:sz="4" w:space="0" w:color="CBD5E1"/>
              <w:left w:val="none"/>
              <w:right w:val="none"/>
            </w:tcBorders>
          </w:tcPr>
          <w:p>
            <w:pPr>
              <w:jc w:val="center"/>
            </w:pPr>
            <w:r>
              <w:rPr>
                <w:color w:val="1F2937"/>
                <w:sz w:val="18"/>
              </w:rPr>
              <w:t>80</w:t>
            </w:r>
          </w:p>
        </w:tc>
        <w:tc>
          <w:tcPr>
            <w:tcW w:type="dxa" w:w="1170"/>
            <w:tcBorders>
              <w:top w:val="single" w:sz="4" w:space="0" w:color="CBD5E1"/>
              <w:bottom w:val="single" w:sz="4" w:space="0" w:color="CBD5E1"/>
              <w:left w:val="none"/>
              <w:right w:val="none"/>
            </w:tcBorders>
          </w:tcPr>
          <w:p>
            <w:pPr>
              <w:jc w:val="center"/>
            </w:pPr>
            <w:r>
              <w:rPr>
                <w:color w:val="1F2937"/>
                <w:sz w:val="18"/>
              </w:rPr>
              <w:t>500</w:t>
            </w:r>
          </w:p>
        </w:tc>
        <w:tc>
          <w:tcPr>
            <w:tcW w:type="dxa" w:w="1170"/>
            <w:tcBorders>
              <w:top w:val="single" w:sz="4" w:space="0" w:color="CBD5E1"/>
              <w:bottom w:val="single" w:sz="4" w:space="0" w:color="CBD5E1"/>
              <w:left w:val="none"/>
              <w:right w:val="none"/>
            </w:tcBorders>
          </w:tcPr>
          <w:p>
            <w:pPr>
              <w:jc w:val="center"/>
            </w:pPr>
            <w:r>
              <w:rPr>
                <w:color w:val="1F2937"/>
                <w:sz w:val="18"/>
              </w:rPr>
              <w:t>250</w:t>
            </w:r>
          </w:p>
        </w:tc>
        <w:tc>
          <w:tcPr>
            <w:tcW w:type="dxa" w:w="1170"/>
            <w:tcBorders>
              <w:top w:val="single" w:sz="4" w:space="0" w:color="CBD5E1"/>
              <w:bottom w:val="single" w:sz="4" w:space="0" w:color="CBD5E1"/>
              <w:left w:val="none"/>
              <w:right w:val="none"/>
            </w:tcBorders>
          </w:tcPr>
          <w:p>
            <w:pPr>
              <w:jc w:val="center"/>
            </w:pPr>
            <w:r>
              <w:rPr>
                <w:color w:val="1F2937"/>
                <w:sz w:val="18"/>
              </w:rPr>
              <w:t>2000</w:t>
            </w:r>
          </w:p>
        </w:tc>
        <w:tc>
          <w:tcPr>
            <w:tcW w:type="dxa" w:w="1170"/>
            <w:tcBorders>
              <w:top w:val="single" w:sz="4" w:space="0" w:color="CBD5E1"/>
              <w:bottom w:val="single" w:sz="4" w:space="0" w:color="CBD5E1"/>
              <w:left w:val="none"/>
              <w:right w:val="none"/>
            </w:tcBorders>
          </w:tcPr>
          <w:p>
            <w:pPr>
              <w:jc w:val="center"/>
            </w:pPr>
            <w:r>
              <w:rPr>
                <w:color w:val="1F2937"/>
                <w:sz w:val="18"/>
              </w:rPr>
              <w:t>Poto et al. (2023)</w:t>
            </w:r>
          </w:p>
        </w:tc>
      </w:tr>
    </w:tbl>
    <w:p/>
    <w:p>
      <w:pPr>
        <w:spacing w:before="200" w:after="80"/>
      </w:pPr>
      <w:r>
        <w:rPr>
          <w:b/>
          <w:color w:val="475569"/>
          <w:sz w:val="24"/>
        </w:rPr>
        <w:t xml:space="preserve"> 5.4 Packed-Bed Hydraulic Gradient (Ergun Equation)</w:t>
      </w:r>
    </w:p>
    <w:p>
      <w:pPr>
        <w:spacing w:before="80" w:after="80"/>
        <w:jc w:val="center"/>
      </w:pPr>
      <w:r>
        <w:rPr>
          <w:i/>
          <w:color w:val="475569"/>
          <w:sz w:val="20"/>
        </w:rPr>
        <w:t>\frac{\Delta P}{L} = 150 \frac{\mu_g (1 - \varepsilon_b)^2}{\varepsilon_b^3 d_p^2} u_s + 1.75 \frac{\rho_g (1 - \varepsilon_b)}{\varepsilon_b^3 d_p} u_s^2</w:t>
      </w:r>
    </w:p>
    <w:p>
      <w:pPr>
        <w:spacing w:before="40" w:after="80"/>
      </w:pPr>
      <w:r>
        <w:rPr>
          <w:color w:val="1F2937"/>
          <w:sz w:val="20"/>
        </w:rPr>
        <w:t>At 250^\circ\text{C}, 40\text{ bar} (\rho_g = 26.64\text{ kg/m}^3, \mu_g = 2.0 \times 10^{-5}\text{ Pa}\cdot\text{s}, u_s = 0.016\text{ m/s}, d_p = 0.30\text{ mm}, \varepsilon_b = 0.40):</w:t>
      </w:r>
    </w:p>
    <w:p>
      <w:pPr>
        <w:spacing w:before="80" w:after="80"/>
        <w:jc w:val="center"/>
      </w:pPr>
      <w:r>
        <w:rPr>
          <w:i/>
          <w:color w:val="475569"/>
          <w:sz w:val="20"/>
        </w:rPr>
        <w:t>\frac{\Delta P}{L} = 3373\text{ Pa/m} \implies \Delta P(L = 1.0\text{ m}) = \mathbf{0.0337\text{ bar}} \quad (\mathbf{0.08\%} \text{ of } 40\text{ bar})</w:t>
      </w:r>
    </w:p>
    <w:p>
      <w:pPr>
        <w:spacing w:before="40" w:after="80"/>
      </w:pPr>
      <w:r>
        <w:rPr>
          <w:color w:val="1F2937"/>
          <w:sz w:val="20"/>
        </w:rPr>
        <w:t>Confirming that the bed operates under essentially uniform isobaric conditions.</w:t>
      </w:r>
    </w:p>
    <w:p>
      <w:pPr>
        <w:spacing w:before="280" w:after="120"/>
      </w:pPr>
      <w:r>
        <w:rPr>
          <w:b/>
          <w:color w:val="475569"/>
          <w:sz w:val="28"/>
        </w:rPr>
        <w:t xml:space="preserve"> 6. Chemical Engineering Logic &amp; Mechanistic Justifications</w:t>
      </w:r>
    </w:p>
    <w:p>
      <w:pPr>
        <w:spacing w:before="40" w:after="80"/>
      </w:pPr>
      <w:r>
        <w:rPr>
          <w:color w:val="1F2937"/>
          <w:sz w:val="20"/>
        </w:rPr>
        <w:t>Every architectural choice, operating parameter, kinetic expression, and physical boundary condition in this research is grounded in fundamental Chemical Reaction Engineering (CRE), thermodynamics, and transport phenomena principles:</w:t>
      </w:r>
    </w:p>
    <w:p>
      <w:pPr>
        <w:spacing w:before="200" w:after="80"/>
      </w:pPr>
      <w:r>
        <w:rPr>
          <w:b/>
          <w:color w:val="475569"/>
          <w:sz w:val="24"/>
        </w:rPr>
        <w:t xml:space="preserve"> 6.1 Thermodynamic Affinity &amp; Equilibrium Bypass Logic</w:t>
      </w:r>
    </w:p>
    <w:p>
      <w:pPr>
        <w:pStyle w:val="ListBullet"/>
        <w:spacing w:before="20" w:after="40"/>
      </w:pPr>
      <w:r>
        <w:rPr>
          <w:color w:val="1F2937"/>
          <w:sz w:val="20"/>
        </w:rPr>
        <w:t>**The Classical Limitation:** In a closed system at constant  and , chemical equilibrium is reached when the Gibbs free energy of the mixture is minimized (\Delta G = 0). The chemical affinity (\mathcal{A}) driving any reaction  is defined by:</w:t>
      </w:r>
    </w:p>
    <w:p>
      <w:pPr>
        <w:spacing w:before="40" w:after="80"/>
      </w:pPr>
      <w:r>
        <w:rPr>
          <w:color w:val="1F2937"/>
          <w:sz w:val="20"/>
        </w:rPr>
        <w:t>9325\mathcal{A}_j = -\sum_{i}</w:t>
      </w:r>
    </w:p>
    <w:p>
      <w:pPr>
        <w:spacing w:before="40" w:after="80"/>
      </w:pPr>
      <w:r>
        <w:rPr>
          <w:color w:val="1F2937"/>
          <w:sz w:val="20"/>
        </w:rPr>
        <w:t>u_{i,j} \mu_i = R T \ln\left( rac{K_{eq,j}}{Q_j}</w:t>
      </w:r>
    </w:p>
    <w:p>
      <w:pPr>
        <w:spacing w:before="40" w:after="80"/>
      </w:pPr>
      <w:r>
        <w:rPr>
          <w:color w:val="1F2937"/>
          <w:sz w:val="20"/>
        </w:rPr>
        <w:t>ight)9325</w:t>
      </w:r>
    </w:p>
    <w:p>
      <w:pPr>
        <w:spacing w:before="40" w:after="80"/>
      </w:pPr>
      <w:r>
        <w:rPr>
          <w:color w:val="1F2937"/>
          <w:sz w:val="20"/>
        </w:rPr>
        <w:t xml:space="preserve">Where \mu_i is the chemical potential of species , </w:t>
      </w:r>
    </w:p>
    <w:p>
      <w:pPr>
        <w:spacing w:before="40" w:after="80"/>
      </w:pPr>
      <w:r>
        <w:rPr>
          <w:color w:val="1F2937"/>
          <w:sz w:val="20"/>
        </w:rPr>
        <w:t>u_{i,j} is its stoichiometric coefficient, and  = \prod p_i^{</w:t>
      </w:r>
    </w:p>
    <w:p>
      <w:pPr>
        <w:spacing w:before="40" w:after="80"/>
      </w:pPr>
      <w:r>
        <w:rPr>
          <w:color w:val="1F2937"/>
          <w:sz w:val="20"/>
        </w:rPr>
        <w:t>u_{i,j}} is the reaction quotient.</w:t>
      </w:r>
    </w:p>
    <w:p>
      <w:pPr>
        <w:pStyle w:val="ListBullet"/>
        <w:spacing w:before="20" w:after="40"/>
      </w:pPr>
      <w:r>
        <w:rPr>
          <w:color w:val="1F2937"/>
          <w:sz w:val="20"/>
        </w:rPr>
        <w:t xml:space="preserve">**The Traditional Packed Bed Failure:** In a standard packed bed, as reactants convert, water partial pressure accumulates rapidly ({\mathrm{H}_2\mathrm{O}} </w:t>
        <w:tab/>
        <w:t>o 3.2\ \mathrm{bar}). As a result, the reaction quotients surge toward their equilibrium limits:</w:t>
      </w:r>
    </w:p>
    <w:p>
      <w:pPr>
        <w:spacing w:before="40" w:after="80"/>
      </w:pPr>
      <w:r>
        <w:rPr>
          <w:color w:val="1F2937"/>
          <w:sz w:val="20"/>
        </w:rPr>
        <w:t xml:space="preserve">9325Q_1 = rac{p_{\mathrm{H}_2\mathrm{O}} p_{\mathrm{CH}_3\mathrm{OH}}}{p_{\mathrm{H}_2}^3 p_{\mathrm{CO}_2}} </w:t>
        <w:tab/>
        <w:t xml:space="preserve">o K_{eq1}, \quad Q_3 = rac{p_{\mathrm{DME}} p_{\mathrm{H}_2\mathrm{O}}}{p_{\mathrm{CH}_3\mathrm{OH}}^2} </w:t>
        <w:tab/>
        <w:t>o K_{p,3}9325</w:t>
      </w:r>
    </w:p>
    <w:p>
      <w:pPr>
        <w:spacing w:before="40" w:after="80"/>
      </w:pPr>
      <w:r>
        <w:rPr>
          <w:color w:val="1F2937"/>
          <w:sz w:val="20"/>
        </w:rPr>
        <w:t xml:space="preserve">When  </w:t>
        <w:tab/>
        <w:t xml:space="preserve">o K_{eq,j}, the affinity collapses to zero (\mathcal{A}_j </w:t>
        <w:tab/>
        <w:t xml:space="preserve">o 0), driving the net forward reaction rate to zero ({\mathrm{net},j} </w:t>
        <w:tab/>
        <w:t>o 0). Single-pass conversion is thus choked at .99\%, and DME yield cannot exceed .65\%.</w:t>
      </w:r>
    </w:p>
    <w:p>
      <w:pPr>
        <w:pStyle w:val="ListBullet"/>
        <w:spacing w:before="20" w:after="40"/>
      </w:pPr>
      <w:r>
        <w:rPr>
          <w:color w:val="1F2937"/>
          <w:sz w:val="20"/>
        </w:rPr>
        <w:t>**The Membrane Reactor Remedy:** By maintaining continuous in-situ water removal across the NaA zeolite layer ({\mathrm{H}_2\mathrm{O}} = \Pi_{\mathrm{H}_2\mathrm{O}} \Delta p_{\mathrm{H}_2\mathrm{O}}), the water partial pressure is suppressed along the entire bed ({\mathrm{H}_2\mathrm{O}} &lt; 0.15\ \mathrm{bar}). Consequently:</w:t>
      </w:r>
    </w:p>
    <w:p>
      <w:pPr>
        <w:spacing w:before="40" w:after="80"/>
      </w:pPr>
      <w:r>
        <w:rPr>
          <w:color w:val="1F2937"/>
          <w:sz w:val="20"/>
        </w:rPr>
        <w:t>9325Q_j \ll K_{eq,j} \implies \mathcal{A}_j = R T \ln\left( rac{K_{eq,j}}{Q_j}</w:t>
      </w:r>
    </w:p>
    <w:p>
      <w:pPr>
        <w:spacing w:before="40" w:after="80"/>
      </w:pPr>
      <w:r>
        <w:rPr>
          <w:color w:val="1F2937"/>
          <w:sz w:val="20"/>
        </w:rPr>
        <w:t>ight) \gg 09325</w:t>
      </w:r>
    </w:p>
    <w:p>
      <w:pPr>
        <w:spacing w:before="40" w:after="80"/>
      </w:pPr>
      <w:r>
        <w:rPr>
          <w:color w:val="1F2937"/>
          <w:sz w:val="20"/>
        </w:rPr>
        <w:t>A strong positive thermodynamic affinity is maintained from inlet to outlet, permanently bypassing the classical Gibbs ceiling (.54\%) and driving DME single-pass yield to **.16\%*.</w:t>
      </w:r>
    </w:p>
    <w:p>
      <w:pPr>
        <w:spacing w:before="200" w:after="80"/>
      </w:pPr>
      <w:r>
        <w:rPr>
          <w:b/>
          <w:color w:val="475569"/>
          <w:sz w:val="24"/>
        </w:rPr>
        <w:t xml:space="preserve"> 6.2 Heterogeneous Catalysis &amp; Active Site Preservation Logic</w:t>
      </w:r>
    </w:p>
    <w:p>
      <w:pPr>
        <w:pStyle w:val="ListBullet"/>
        <w:spacing w:before="20" w:after="40"/>
      </w:pPr>
      <w:r>
        <w:rPr>
          <w:color w:val="1F2937"/>
          <w:sz w:val="20"/>
        </w:rPr>
        <w:t>**Dual-Site Bifunctional Catalysis:** Direct synthesis requires two distinct active sites:</w:t>
      </w:r>
    </w:p>
    <w:p>
      <w:pPr>
        <w:pStyle w:val="ListNumber"/>
        <w:spacing w:before="20" w:after="40"/>
      </w:pPr>
      <w:r>
        <w:rPr>
          <w:color w:val="1F2937"/>
          <w:sz w:val="20"/>
        </w:rPr>
        <w:t>Metallic copper crystallites (</w:t>
        <w:tab/>
        <w:t xml:space="preserve">ext{Cu}^0) supported on </w:t>
        <w:tab/>
        <w:t>ext{ZnO/Al}_2</w:t>
        <w:tab/>
        <w:t xml:space="preserve">ext{O}_3 for </w:t>
        <w:tab/>
        <w:t>ext{CO}_2 dissociative adsorption and hydrogenative formation of methoxy intermediates.</w:t>
      </w:r>
    </w:p>
    <w:p>
      <w:pPr>
        <w:pStyle w:val="ListNumber"/>
        <w:spacing w:before="20" w:after="40"/>
      </w:pPr>
      <w:r>
        <w:rPr>
          <w:color w:val="1F2937"/>
          <w:sz w:val="20"/>
        </w:rPr>
        <w:t xml:space="preserve">Solid acid Brønsted sites (bridging hydroxyls </w:t>
        <w:tab/>
        <w:t xml:space="preserve">ext{Si-OH-Al}) in </w:t>
        <w:tab/>
        <w:t>ext{H-ZSM-5} zeolite channels for the proton-catalyzed bimolecular condensation of methanol into DME.</w:t>
      </w:r>
    </w:p>
    <w:p>
      <w:pPr>
        <w:pStyle w:val="ListBullet"/>
        <w:spacing w:before="20" w:after="40"/>
      </w:pPr>
      <w:r>
        <w:rPr>
          <w:color w:val="1F2937"/>
          <w:sz w:val="20"/>
        </w:rPr>
        <w:t>**Why Water Poisons Metallic Copper (Langmuir-Hinshelwood Logic):**</w:t>
      </w:r>
    </w:p>
    <w:p>
      <w:pPr>
        <w:spacing w:before="40" w:after="80"/>
      </w:pPr>
      <w:r>
        <w:rPr>
          <w:color w:val="1F2937"/>
          <w:sz w:val="20"/>
        </w:rPr>
        <w:t>In the Mignard &amp; Pritchard (2008) rate law, the active site competition denominator is:</w:t>
      </w:r>
    </w:p>
    <w:p>
      <w:pPr>
        <w:spacing w:before="40" w:after="80"/>
      </w:pPr>
      <w:r>
        <w:rPr>
          <w:color w:val="1F2937"/>
          <w:sz w:val="20"/>
        </w:rPr>
        <w:t>9325D_k = 1 + K_{\mathrm{H}_2\mathrm{O},\mathrm{H}_2}\left(rac{p_{\mathrm{H}_2\mathrm{O}}}{p_{\mathrm{H}_2}}</w:t>
      </w:r>
    </w:p>
    <w:p>
      <w:pPr>
        <w:spacing w:before="40" w:after="80"/>
      </w:pPr>
      <w:r>
        <w:rPr>
          <w:color w:val="1F2937"/>
          <w:sz w:val="20"/>
        </w:rPr>
        <w:t>ight) + \sqrt{K_{\mathrm{H}_2} p_{\mathrm{H}_2}} + K_{\mathrm{H}_2\mathrm{O}} p_{\mathrm{H}_2\mathrm{O}}9325</w:t>
      </w:r>
    </w:p>
    <w:p>
      <w:pPr>
        <w:spacing w:before="40" w:after="80"/>
      </w:pPr>
      <w:r>
        <w:rPr>
          <w:color w:val="1F2937"/>
          <w:sz w:val="20"/>
        </w:rPr>
        <w:t>Because water adsorbs strongly onto copper ({\mathrm{H}_2\mathrm{O}} = 16.14\ \mathrm{bar}^{-1} at ^\circ\mathrm{C}), high water partial pressures cause  to swell. Because the forward rate depends inversely on the cube of the denominator ( \propto 1/D_k^3), accumulated water blocks copper active sites, causing reaction rates to collapse by over \% in a traditional bed.</w:t>
      </w:r>
    </w:p>
    <w:p>
      <w:pPr>
        <w:pStyle w:val="ListBullet"/>
        <w:spacing w:before="20" w:after="40"/>
      </w:pPr>
      <w:r>
        <w:rPr>
          <w:color w:val="1F2937"/>
          <w:sz w:val="20"/>
        </w:rPr>
        <w:t xml:space="preserve">**Why Water Destroys Zeolite Acidity:** Under elevated temperature (^\circ\mathrm{C}) and high steam partial pressure, water molecules induce hydrolytic cleavage of framework tetrahedral aluminum atoms (dealumination: </w:t>
        <w:tab/>
        <w:t xml:space="preserve">ext{Si-O-Al} + </w:t>
        <w:tab/>
        <w:t>ext{H}_2</w:t>
        <w:tab/>
        <w:t xml:space="preserve">ext{O} </w:t>
        <w:tab/>
        <w:t xml:space="preserve">o </w:t>
        <w:tab/>
        <w:t xml:space="preserve">ext{Si-OH} + </w:t>
        <w:tab/>
        <w:t>ext{Al-OH}). This irreversible process permanently degrades the Brønsted acid sites. In-situ extraction preserves zeolite framework integrity.</w:t>
      </w:r>
    </w:p>
    <w:p>
      <w:pPr>
        <w:pStyle w:val="ListBullet"/>
        <w:spacing w:before="20" w:after="40"/>
      </w:pPr>
      <w:r>
        <w:rPr>
          <w:color w:val="1F2937"/>
          <w:sz w:val="20"/>
        </w:rPr>
        <w:t>**The Lu et al. (2004) Kinetic Formulation Logic:**</w:t>
      </w:r>
    </w:p>
    <w:p>
      <w:pPr>
        <w:spacing w:before="40" w:after="80"/>
      </w:pPr>
      <w:r>
        <w:rPr>
          <w:color w:val="1F2937"/>
          <w:sz w:val="20"/>
        </w:rPr>
        <w:t>Solid acid methanol dehydration follows:</w:t>
      </w:r>
    </w:p>
    <w:p>
      <w:pPr>
        <w:spacing w:before="40" w:after="80"/>
      </w:pPr>
      <w:r>
        <w:rPr>
          <w:color w:val="1F2937"/>
          <w:sz w:val="20"/>
        </w:rPr>
        <w:t>9325r_3 = k_3 \left( rac{p_{\mathrm{CH}_3\mathrm{OH}}^2}{p_{\mathrm{H}_2\mathrm{O},\mathrm{safe}}} - rac{p_{\mathrm{DME}}}{K_{p,3}}</w:t>
      </w:r>
    </w:p>
    <w:p>
      <w:pPr>
        <w:spacing w:before="40" w:after="80"/>
      </w:pPr>
      <w:r>
        <w:rPr>
          <w:color w:val="1F2937"/>
          <w:sz w:val="20"/>
        </w:rPr>
        <w:t>ight)9325</w:t>
      </w:r>
    </w:p>
    <w:p>
      <w:pPr>
        <w:spacing w:before="40" w:after="80"/>
      </w:pPr>
      <w:r>
        <w:rPr>
          <w:color w:val="1F2937"/>
          <w:sz w:val="20"/>
        </w:rPr>
        <w:t>Factoring {\mathrm{H}_2\mathrm{O}} into the denominator of the driving force explicitly accounts for competitive site adsorption between methanol and water on the Brønsted acid sites, accurately reproducing experimental behavior across wide pressure and temperature ranges.</w:t>
      </w:r>
    </w:p>
    <w:p>
      <w:pPr>
        <w:spacing w:before="200" w:after="80"/>
      </w:pPr>
      <w:r>
        <w:rPr>
          <w:b/>
          <w:color w:val="475569"/>
          <w:sz w:val="24"/>
        </w:rPr>
        <w:t xml:space="preserve"> 6.3 Transport Phenomena &amp; Process Intensification Logic</w:t>
      </w:r>
    </w:p>
    <w:p>
      <w:pPr>
        <w:pStyle w:val="ListBullet"/>
        <w:spacing w:before="20" w:after="40"/>
      </w:pPr>
      <w:r>
        <w:rPr>
          <w:color w:val="1F2937"/>
          <w:sz w:val="20"/>
        </w:rPr>
        <w:t>**Damköhler Number Synchronization ({\mathrm{perm}} pprox 1.0):**</w:t>
      </w:r>
    </w:p>
    <w:p>
      <w:pPr>
        <w:spacing w:before="40" w:after="80"/>
      </w:pPr>
      <w:r>
        <w:rPr>
          <w:color w:val="1F2937"/>
          <w:sz w:val="20"/>
        </w:rPr>
        <w:t>The Damköhler number represents the ratio of the chemical reaction rate to the membrane mass-transfer evacuation rate:</w:t>
      </w:r>
    </w:p>
    <w:p>
      <w:pPr>
        <w:spacing w:before="40" w:after="80"/>
      </w:pPr>
      <w:r>
        <w:rPr>
          <w:color w:val="1F2937"/>
          <w:sz w:val="20"/>
        </w:rPr>
        <w:t>9325Da_{\mathrm{perm}} = rac{</w:t>
        <w:tab/>
        <w:t>au_{\mathrm{perm}}}{</w:t>
        <w:tab/>
        <w:t>au_{\mathrm{rxn}}} = rac{r_{\mathrm{gen},\mathrm{H}_2\mathrm{O}}}{J_{\mathrm{perm},\mathrm{H}_2\mathrm{O}} \cdot a_v}9325</w:t>
      </w:r>
    </w:p>
    <w:p>
      <w:pPr>
        <w:pStyle w:val="ListBullet"/>
        <w:spacing w:before="20" w:after="40"/>
      </w:pPr>
      <w:r>
        <w:rPr>
          <w:color w:val="1F2937"/>
          <w:sz w:val="20"/>
        </w:rPr>
        <w:t>If {\mathrm{perm}} \gg 1: The reactor is **permeation-limited**. Chemical generation outpaces extraction; water builds up, and the membrane becomes a redundant, high-cost bottleneck.</w:t>
      </w:r>
    </w:p>
    <w:p>
      <w:pPr>
        <w:pStyle w:val="ListBullet"/>
        <w:spacing w:before="20" w:after="40"/>
      </w:pPr>
      <w:r>
        <w:rPr>
          <w:color w:val="1F2937"/>
          <w:sz w:val="20"/>
        </w:rPr>
        <w:t>If {\mathrm{perm}} \ll 1: The reactor is **reaction-limited**. Membrane surface area is oversized, leading to excessive capital expense without incremental chemical gain.</w:t>
      </w:r>
    </w:p>
    <w:p>
      <w:pPr>
        <w:pStyle w:val="ListBullet"/>
        <w:spacing w:before="20" w:after="40"/>
      </w:pPr>
      <w:r>
        <w:rPr>
          <w:color w:val="1F2937"/>
          <w:sz w:val="20"/>
        </w:rPr>
        <w:t>At {\mathrm{perm}} pprox 0.98</w:t>
        <w:tab/>
        <w:t xml:space="preserve">ext{--}1.05: **Intensified synchronization** is achieved in the Four-Tube Shell-Packed CMR at </w:t>
        <w:tab/>
        <w:t>ext{GHSV} = 1000\ \mathrm{h}^{-1}, evacuating water at the exact rate it is generated (.53\% removal).</w:t>
      </w:r>
    </w:p>
    <w:p>
      <w:pPr>
        <w:pStyle w:val="ListBullet"/>
        <w:spacing w:before="20" w:after="40"/>
      </w:pPr>
      <w:r>
        <w:rPr>
          <w:color w:val="1F2937"/>
          <w:sz w:val="20"/>
        </w:rPr>
        <w:t>**Radial Diffusion Timescale Scaling (Einstein-Smoluchowski Logic):**</w:t>
      </w:r>
    </w:p>
    <w:p>
      <w:pPr>
        <w:spacing w:before="40" w:after="80"/>
      </w:pPr>
      <w:r>
        <w:rPr>
          <w:color w:val="1F2937"/>
          <w:sz w:val="20"/>
        </w:rPr>
        <w:t>In a packed bed, generated water molecules must diffuse through the tortuous interstitial fluid to reach the membrane wall. The characteristic diffusion timescale (</w:t>
        <w:tab/>
        <w:t>au_{\mathrm{diff}}) scales quadratically with the maximum diffusion path length:</w:t>
      </w:r>
    </w:p>
    <w:p>
      <w:pPr>
        <w:spacing w:before="40" w:after="80"/>
      </w:pPr>
      <w:r>
        <w:rPr>
          <w:color w:val="1F2937"/>
          <w:sz w:val="20"/>
        </w:rPr>
        <w:t>9325</w:t>
        <w:tab/>
        <w:t>au_{\mathrm{diff}} = rac{(\Delta r_{\max})^2}{D_{\mathrm{eff}}}9325</w:t>
      </w:r>
    </w:p>
    <w:p>
      <w:pPr>
        <w:pStyle w:val="ListBullet"/>
        <w:spacing w:before="20" w:after="40"/>
      </w:pPr>
      <w:r>
        <w:rPr>
          <w:color w:val="1F2937"/>
          <w:sz w:val="20"/>
        </w:rPr>
        <w:t>In the Single-Tube CMR: \Delta r_{\max} = 5.00\ \mathrm{mm}.</w:t>
      </w:r>
    </w:p>
    <w:p>
      <w:pPr>
        <w:pStyle w:val="ListBullet"/>
        <w:spacing w:before="20" w:after="40"/>
      </w:pPr>
      <w:r>
        <w:rPr>
          <w:color w:val="1F2937"/>
          <w:sz w:val="20"/>
        </w:rPr>
        <w:t>In the Four-Tube Shell-Packed CMR: \Delta r_{\max} = 2.50\ \mathrm{mm} (halved).</w:t>
      </w:r>
    </w:p>
    <w:p>
      <w:pPr>
        <w:spacing w:before="40" w:after="80"/>
      </w:pPr>
      <w:r>
        <w:rPr>
          <w:color w:val="1F2937"/>
          <w:sz w:val="20"/>
        </w:rPr>
        <w:t>9325rac{</w:t>
        <w:tab/>
        <w:t>au_{\mathrm{diff,4-tube}}}{</w:t>
        <w:tab/>
        <w:t>au_{\mathrm{diff,1-tube}}} = \left(rac{2.50}{5.00}</w:t>
      </w:r>
    </w:p>
    <w:p>
      <w:pPr>
        <w:spacing w:before="40" w:after="80"/>
      </w:pPr>
      <w:r>
        <w:rPr>
          <w:color w:val="1F2937"/>
          <w:sz w:val="20"/>
        </w:rPr>
        <w:t>ight)^2 = rac{1}{4} = \mathbf{0.25}9325</w:t>
      </w:r>
    </w:p>
    <w:p>
      <w:pPr>
        <w:spacing w:before="40" w:after="80"/>
      </w:pPr>
      <w:r>
        <w:rPr>
          <w:color w:val="1F2937"/>
          <w:sz w:val="20"/>
        </w:rPr>
        <w:t>By cutting the radial path in half, the diffusion timescale is reduced by a factor of **.0</w:t>
        <w:tab/>
        <w:t xml:space="preserve">imes*. Water molecules escape into the membrane </w:t>
        <w:tab/>
        <w:t>imes faster, preventing localized water accumulation near the shell wall.</w:t>
      </w:r>
    </w:p>
    <w:p>
      <w:pPr>
        <w:pStyle w:val="ListBullet"/>
        <w:spacing w:before="20" w:after="40"/>
      </w:pPr>
      <w:r>
        <w:rPr>
          <w:color w:val="1F2937"/>
          <w:sz w:val="20"/>
        </w:rPr>
        <w:t>**Specific Area Intensification ( = 2.0</w:t>
        <w:tab/>
        <w:t>imes):**</w:t>
      </w:r>
    </w:p>
    <w:p>
      <w:pPr>
        <w:spacing w:before="40" w:after="80"/>
      </w:pPr>
      <w:r>
        <w:rPr>
          <w:color w:val="1F2937"/>
          <w:sz w:val="20"/>
        </w:rPr>
        <w:t xml:space="preserve">Specific surface area is defined as  = P_m / A_c. Subdividing the membrane into four half-radius tubes ( = 5\ \mathrm{mm}) doubles the membrane perimeter (: 31.42 </w:t>
        <w:tab/>
        <w:t xml:space="preserve">o 62.83\ \mathrm{mm}) while keeping bed area identical ( = 2.3562\ \mathrm{cm}^2). This doubles specific membrane area (: 133.33 </w:t>
        <w:tab/>
        <w:t>o 266.67\ \mathrm{m}^{-1}), providing twice the mass-transfer contact area per cubic centimeter of catalyst.</w:t>
      </w:r>
    </w:p>
    <w:p>
      <w:pPr>
        <w:spacing w:before="200" w:after="80"/>
      </w:pPr>
      <w:r>
        <w:rPr>
          <w:b/>
          <w:color w:val="475569"/>
          <w:sz w:val="24"/>
        </w:rPr>
        <w:t xml:space="preserve"> 6.4 Packed Bed Fluid Dynamics &amp; Hydraulic Logic</w:t>
      </w:r>
    </w:p>
    <w:p>
      <w:pPr>
        <w:pStyle w:val="ListBullet"/>
        <w:spacing w:before="20" w:after="40"/>
      </w:pPr>
      <w:r>
        <w:rPr>
          <w:color w:val="1F2937"/>
          <w:sz w:val="20"/>
        </w:rPr>
        <w:t>**Why Case Study A (Uniform Sleeves) Was Defective:**</w:t>
      </w:r>
    </w:p>
    <w:p>
      <w:pPr>
        <w:spacing w:before="40" w:after="80"/>
      </w:pPr>
      <w:r>
        <w:rPr>
          <w:color w:val="1F2937"/>
          <w:sz w:val="20"/>
        </w:rPr>
        <w:t>Wrapping individual tubes in catalyst sleeves touching each other in square tangent circle packing creates **.37\% unfillable void space** (central diamond void + four outer crescent voids).</w:t>
      </w:r>
    </w:p>
    <w:p>
      <w:pPr>
        <w:spacing w:before="40" w:after="80"/>
      </w:pPr>
      <w:r>
        <w:rPr>
          <w:color w:val="1F2937"/>
          <w:sz w:val="20"/>
        </w:rPr>
        <w:t>According to fluid mechanics, flow resistance through a packed bed is governed by the Ergun equation (high hydraulic drag, \Delta P_{\mathrm{bed}}), whereas empty voids exhibit near-zero drag (Poiseuille pipe flow, \Delta P_{\mathrm{void}} \ll \Delta P_{\mathrm{bed}}).</w:t>
      </w:r>
    </w:p>
    <w:p>
      <w:pPr>
        <w:spacing w:before="40" w:after="80"/>
      </w:pPr>
      <w:r>
        <w:rPr>
          <w:color w:val="1F2937"/>
          <w:sz w:val="20"/>
        </w:rPr>
        <w:t>Consequently, feed syngas preferentially channels through the empty voids, bypassing the catalyst bed entirely. Simulations demonstrated that leaving these voids unsealed drops DME yield by **569X29.66</w:t>
        <w:tab/>
        <w:t xml:space="preserve">ext{ percentage points}* (.39\% </w:t>
        <w:tab/>
        <w:t>o 62.73\%). Complete sealing with impermeable ceramic fillers is costly and prone to thermal shock cracking.</w:t>
      </w:r>
    </w:p>
    <w:p>
      <w:pPr>
        <w:pStyle w:val="ListBullet"/>
        <w:spacing w:before="20" w:after="40"/>
      </w:pPr>
      <w:r>
        <w:rPr>
          <w:color w:val="1F2937"/>
          <w:sz w:val="20"/>
        </w:rPr>
        <w:t>**Why Case Study B (Shell-Packed CMR) Is Superior:**</w:t>
      </w:r>
    </w:p>
    <w:p>
      <w:pPr>
        <w:spacing w:before="40" w:after="80"/>
      </w:pPr>
      <w:r>
        <w:rPr>
          <w:color w:val="1F2937"/>
          <w:sz w:val="20"/>
        </w:rPr>
        <w:t>Case Study B packs the **entire shell space** around the four tubes with catalyst micro-pellets. This completely eliminates void pockets, reduces bypass risk to **zsh.00\%*, utilizes \% of the shell bore for catalytic conversion, and requires zero inert sealing materials.</w:t>
      </w:r>
    </w:p>
    <w:p>
      <w:pPr>
        <w:pStyle w:val="ListBullet"/>
        <w:spacing w:before="20" w:after="40"/>
      </w:pPr>
      <w:r>
        <w:rPr>
          <w:color w:val="1F2937"/>
          <w:sz w:val="20"/>
        </w:rPr>
        <w:t>**Ergun Isobaric Operation Validation:**</w:t>
      </w:r>
    </w:p>
    <w:p>
      <w:pPr>
        <w:spacing w:before="40" w:after="80"/>
      </w:pPr>
      <w:r>
        <w:rPr>
          <w:color w:val="1F2937"/>
          <w:sz w:val="20"/>
        </w:rPr>
        <w:t>At ^\circ\mathrm{C} and \ \mathrm{bar}, the superficial syngas velocity is  = 0.016\ \mathrm{m/s}. The Ergun equation yields an axial pressure drop of \Delta P = 0.0337\ \mathrm{bar} over the .0\ \mathrm{m} length, which is only **zsh.08\%* of the total operating pressure. This confirms that the bed operates under uniform isobaric conditions without requiring parasitic compression power.</w:t>
      </w:r>
    </w:p>
    <w:p>
      <w:pPr>
        <w:spacing w:before="200" w:after="80"/>
      </w:pPr>
      <w:r>
        <w:rPr>
          <w:b/>
          <w:color w:val="475569"/>
          <w:sz w:val="24"/>
        </w:rPr>
        <w:t xml:space="preserve"> 6.5 Mechanical Packing Stability (Happel-Brenner Logic)</w:t>
      </w:r>
    </w:p>
    <w:p>
      <w:pPr>
        <w:pStyle w:val="ListBullet"/>
        <w:spacing w:before="20" w:after="40"/>
      </w:pPr>
      <w:r>
        <w:rPr>
          <w:color w:val="1F2937"/>
          <w:sz w:val="20"/>
        </w:rPr>
        <w:t>**Pellet Bridging Threshold:** In chemical engineering multiphase reactors, the ratio of the wall-to-wall clearance gap (\delta) to the catalyst pellet diameter () governs packing uniformity. If \delta / d_p &lt; 5.0, mechanical bridging occurs during dry-loading. Pellets arch over the restriction, leaving large localized void spaces that cause severe velocity maldistribution and wall channeling.</w:t>
      </w:r>
    </w:p>
    <w:p>
      <w:pPr>
        <w:pStyle w:val="ListBullet"/>
        <w:spacing w:before="20" w:after="40"/>
      </w:pPr>
      <w:r>
        <w:rPr>
          <w:color w:val="1F2937"/>
          <w:sz w:val="20"/>
        </w:rPr>
        <w:t>**Geometric Compliance:**</w:t>
      </w:r>
    </w:p>
    <w:p>
      <w:pPr>
        <w:pStyle w:val="ListBullet"/>
        <w:spacing w:before="20" w:after="40"/>
      </w:pPr>
      <w:r>
        <w:rPr>
          <w:color w:val="1F2937"/>
          <w:sz w:val="20"/>
        </w:rPr>
        <w:t>Single-Tube CMR: Annular gap  5.00\ \mathrm{mm} \implies \delta / d_p = 5.00 / 0.30 = \mathbf{16.67} \gg 5.0.</w:t>
      </w:r>
    </w:p>
    <w:p>
      <w:pPr>
        <w:pStyle w:val="ListBullet"/>
        <w:spacing w:before="20" w:after="40"/>
      </w:pPr>
      <w:r>
        <w:rPr>
          <w:color w:val="1F2937"/>
          <w:sz w:val="20"/>
        </w:rPr>
        <w:t>Four-Tube Shell-Packed CMR: The narrowest clearance is the diagonal gap between opposing tubes (\delta_{\mathrm{gap}} = 2.071\ \mathrm{mm}).</w:t>
      </w:r>
    </w:p>
    <w:p>
      <w:pPr>
        <w:spacing w:before="40" w:after="80"/>
      </w:pPr>
      <w:r>
        <w:rPr>
          <w:color w:val="1F2937"/>
          <w:sz w:val="20"/>
        </w:rPr>
        <w:t>9325rac{\delta_{\mathrm{gap}}}{d_p} = rac{2.071\ \mathrm{mm}}{0.30\ \mathrm{mm}} = \mathbf{6.90} \ge 5.09325</w:t>
      </w:r>
    </w:p>
    <w:p>
      <w:pPr>
        <w:spacing w:before="40" w:after="80"/>
      </w:pPr>
      <w:r>
        <w:rPr>
          <w:color w:val="1F2937"/>
          <w:sz w:val="20"/>
        </w:rPr>
        <w:t>Because .90 &gt; 5.0, the Four-Tube bed complies with the Happel-Brenner stability criterion, ensuring dense, uniform random packing without bridging or bypass channels.</w:t>
      </w:r>
    </w:p>
    <w:p>
      <w:pPr>
        <w:spacing w:before="200" w:after="80"/>
      </w:pPr>
      <w:r>
        <w:rPr>
          <w:b/>
          <w:color w:val="475569"/>
          <w:sz w:val="24"/>
        </w:rPr>
        <w:t xml:space="preserve"> 6.6 Scientific Control &amp; Dimensional Invariance Logic</w:t>
      </w:r>
    </w:p>
    <w:p>
      <w:pPr>
        <w:spacing w:before="40" w:after="80"/>
      </w:pPr>
      <w:r>
        <w:rPr>
          <w:color w:val="1F2937"/>
          <w:sz w:val="20"/>
        </w:rPr>
        <w:t>In chemical reaction engineering, comparing reactors with differing catalyst inventory ({\mathrm{cat}}), differing active volumes ({\mathrm{bed}}), or differing space velocities (</w:t>
        <w:tab/>
        <w:t>ext{GHSV}) convolutes residence time variations (</w:t>
        <w:tab/>
        <w:t>au = W_{\mathrm{cat}} / F_{\mathrm{feed}}) with architectural intensification.</w:t>
      </w:r>
    </w:p>
    <w:p>
      <w:pPr>
        <w:spacing w:before="40" w:after="80"/>
      </w:pPr>
      <w:r>
        <w:rPr>
          <w:color w:val="1F2937"/>
          <w:sz w:val="20"/>
        </w:rPr>
        <w:t>To maintain a rigorous scientific control:</w:t>
      </w:r>
    </w:p>
    <w:p>
      <w:pPr>
        <w:pStyle w:val="ListNumber"/>
        <w:spacing w:before="20" w:after="40"/>
      </w:pPr>
      <w:r>
        <w:rPr>
          <w:color w:val="1F2937"/>
          <w:sz w:val="20"/>
        </w:rPr>
        <w:t>**Shell Outer Diameter is Constant:** {\mathrm{shell}} = 20.00\ \mathrm{mm} ({\mathrm{shell}} = 10.00\ \mathrm{mm}).</w:t>
      </w:r>
    </w:p>
    <w:p>
      <w:pPr>
        <w:pStyle w:val="ListNumber"/>
        <w:spacing w:before="20" w:after="40"/>
      </w:pPr>
      <w:r>
        <w:rPr>
          <w:color w:val="1F2937"/>
          <w:sz w:val="20"/>
        </w:rPr>
        <w:t>**Reactor Length is Constant:**  = 1000.0\ \mathrm{mm} (.00\ \mathrm{m}).</w:t>
      </w:r>
    </w:p>
    <w:p>
      <w:pPr>
        <w:pStyle w:val="ListNumber"/>
        <w:spacing w:before="20" w:after="40"/>
      </w:pPr>
      <w:r>
        <w:rPr>
          <w:color w:val="1F2937"/>
          <w:sz w:val="20"/>
        </w:rPr>
        <w:t xml:space="preserve">**Active Bed Cross-Section is Constant:**  = 2.3562\ \mathrm{cm}^2 (.0\% of shell bore) for both Single-Tube (^2 - 10^2) and Four-Tube (^2 - 4 </w:t>
        <w:tab/>
        <w:t>imes 5^2).</w:t>
      </w:r>
    </w:p>
    <w:p>
      <w:pPr>
        <w:pStyle w:val="ListNumber"/>
        <w:spacing w:before="20" w:after="40"/>
      </w:pPr>
      <w:r>
        <w:rPr>
          <w:color w:val="1F2937"/>
          <w:sz w:val="20"/>
        </w:rPr>
        <w:t>**Catalyst Mass is Constant:** {\mathrm{cat}} = 0.2827\ \mathrm{kg} (.74\ \mathrm{g}).</w:t>
      </w:r>
    </w:p>
    <w:p>
      <w:pPr>
        <w:pStyle w:val="ListNumber"/>
        <w:spacing w:before="20" w:after="40"/>
      </w:pPr>
      <w:r>
        <w:rPr>
          <w:color w:val="1F2937"/>
          <w:sz w:val="20"/>
        </w:rPr>
        <w:t xml:space="preserve">**Feed Throughput is Constant:** {\mathrm{feed}} = 2.9200\ \mathrm{mmol/s} (.9270\ \mathrm{NL/min}) at </w:t>
        <w:tab/>
        <w:t>ext{GHSV} = 1000\ \mathrm{h}^{-1}.</w:t>
      </w:r>
    </w:p>
    <w:p>
      <w:pPr>
        <w:spacing w:before="40" w:after="80"/>
      </w:pPr>
      <w:r>
        <w:rPr>
          <w:color w:val="1F2937"/>
          <w:sz w:val="20"/>
        </w:rPr>
        <w:t>Because all macro-scale dimensions, catalyst mass, and feed rates are identical, the observed **0.53</w:t>
        <w:tab/>
        <w:t xml:space="preserve">ext{ percentage point}* increase in DME yield (.63\% </w:t>
        <w:tab/>
        <w:t>o 86.16\%) is proven to originate **\% from transport intensification** (halved diffusion distance \Delta r and doubled specific membrane area ).</w:t>
      </w:r>
    </w:p>
    <w:p>
      <w:pPr>
        <w:spacing w:before="280" w:after="120"/>
      </w:pPr>
      <w:r>
        <w:rPr>
          <w:b/>
          <w:color w:val="475569"/>
          <w:sz w:val="28"/>
        </w:rPr>
        <w:t xml:space="preserve"> 7. Comprehensive Engineering Assumptions Register</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F1F5F9"/>
            <w:tcBorders>
              <w:top w:val="single" w:sz="4" w:space="0" w:color="CBD5E1"/>
              <w:bottom w:val="single" w:sz="4" w:space="0" w:color="CBD5E1"/>
              <w:left w:val="none"/>
              <w:right w:val="none"/>
            </w:tcBorders>
          </w:tcPr>
          <w:p>
            <w:pPr>
              <w:jc w:val="center"/>
            </w:pPr>
            <w:r>
              <w:rPr>
                <w:b/>
                <w:color w:val="475569"/>
                <w:sz w:val="19"/>
              </w:rPr>
              <w:t>Engineering Domain</w:t>
            </w:r>
          </w:p>
        </w:tc>
        <w:tc>
          <w:tcPr>
            <w:tcW w:type="dxa" w:w="3120"/>
            <w:shd w:fill="F1F5F9"/>
            <w:tcBorders>
              <w:top w:val="single" w:sz="4" w:space="0" w:color="CBD5E1"/>
              <w:bottom w:val="single" w:sz="4" w:space="0" w:color="CBD5E1"/>
              <w:left w:val="none"/>
              <w:right w:val="none"/>
            </w:tcBorders>
          </w:tcPr>
          <w:p>
            <w:pPr>
              <w:jc w:val="center"/>
            </w:pPr>
            <w:r>
              <w:rPr>
                <w:b/>
                <w:color w:val="475569"/>
                <w:sz w:val="19"/>
              </w:rPr>
              <w:t>Assumption</w:t>
            </w:r>
          </w:p>
        </w:tc>
        <w:tc>
          <w:tcPr>
            <w:tcW w:type="dxa" w:w="3120"/>
            <w:shd w:fill="F1F5F9"/>
            <w:tcBorders>
              <w:top w:val="single" w:sz="4" w:space="0" w:color="CBD5E1"/>
              <w:bottom w:val="single" w:sz="4" w:space="0" w:color="CBD5E1"/>
              <w:left w:val="none"/>
              <w:right w:val="none"/>
            </w:tcBorders>
          </w:tcPr>
          <w:p>
            <w:pPr>
              <w:jc w:val="center"/>
            </w:pPr>
            <w:r>
              <w:rPr>
                <w:b/>
                <w:color w:val="475569"/>
                <w:sz w:val="19"/>
              </w:rPr>
              <w:t>Quantitative Physical Justification</w:t>
            </w:r>
          </w:p>
        </w:tc>
      </w:tr>
      <w:tr>
        <w:tc>
          <w:tcPr>
            <w:tcW w:type="dxa" w:w="3120"/>
            <w:tcBorders>
              <w:top w:val="single" w:sz="4" w:space="0" w:color="CBD5E1"/>
              <w:bottom w:val="single" w:sz="4" w:space="0" w:color="CBD5E1"/>
              <w:left w:val="none"/>
              <w:right w:val="none"/>
            </w:tcBorders>
          </w:tcPr>
          <w:p>
            <w:r>
              <w:rPr>
                <w:color w:val="1F2937"/>
                <w:sz w:val="18"/>
              </w:rPr>
              <w:t>Axial Dispersion</w:t>
            </w:r>
          </w:p>
        </w:tc>
        <w:tc>
          <w:tcPr>
            <w:tcW w:type="dxa" w:w="3120"/>
            <w:tcBorders>
              <w:top w:val="single" w:sz="4" w:space="0" w:color="CBD5E1"/>
              <w:bottom w:val="single" w:sz="4" w:space="0" w:color="CBD5E1"/>
              <w:left w:val="none"/>
              <w:right w:val="none"/>
            </w:tcBorders>
          </w:tcPr>
          <w:p>
            <w:r>
              <w:rPr>
                <w:color w:val="1F2937"/>
                <w:sz w:val="18"/>
              </w:rPr>
              <w:t>1D Plug Flow Behavior</w:t>
            </w:r>
          </w:p>
        </w:tc>
        <w:tc>
          <w:tcPr>
            <w:tcW w:type="dxa" w:w="3120"/>
            <w:tcBorders>
              <w:top w:val="single" w:sz="4" w:space="0" w:color="CBD5E1"/>
              <w:bottom w:val="single" w:sz="4" w:space="0" w:color="CBD5E1"/>
              <w:left w:val="none"/>
              <w:right w:val="none"/>
            </w:tcBorders>
          </w:tcPr>
          <w:p>
            <w:r>
              <w:rPr>
                <w:color w:val="1F2937"/>
                <w:sz w:val="18"/>
              </w:rPr>
              <w:t>Length-to-diameter ratio L / D{\text{shell}} = 1000 / 20 = 50 \gg 30, satisfying the Carberry criterion for negligible backmixing (Pe{\text{ax}} &gt; 300).</w:t>
            </w:r>
          </w:p>
        </w:tc>
      </w:tr>
      <w:tr>
        <w:tc>
          <w:tcPr>
            <w:tcW w:type="dxa" w:w="3120"/>
            <w:tcBorders>
              <w:top w:val="single" w:sz="4" w:space="0" w:color="CBD5E1"/>
              <w:bottom w:val="single" w:sz="4" w:space="0" w:color="CBD5E1"/>
              <w:left w:val="none"/>
              <w:right w:val="none"/>
            </w:tcBorders>
          </w:tcPr>
          <w:p>
            <w:r>
              <w:rPr>
                <w:color w:val="1F2937"/>
                <w:sz w:val="18"/>
              </w:rPr>
              <w:t>Bed Pressure Drop</w:t>
            </w:r>
          </w:p>
        </w:tc>
        <w:tc>
          <w:tcPr>
            <w:tcW w:type="dxa" w:w="3120"/>
            <w:tcBorders>
              <w:top w:val="single" w:sz="4" w:space="0" w:color="CBD5E1"/>
              <w:bottom w:val="single" w:sz="4" w:space="0" w:color="CBD5E1"/>
              <w:left w:val="none"/>
              <w:right w:val="none"/>
            </w:tcBorders>
          </w:tcPr>
          <w:p>
            <w:r>
              <w:rPr>
                <w:color w:val="1F2937"/>
                <w:sz w:val="18"/>
              </w:rPr>
              <w:t>Isobaric Catalyst Bed</w:t>
            </w:r>
          </w:p>
        </w:tc>
        <w:tc>
          <w:tcPr>
            <w:tcW w:type="dxa" w:w="3120"/>
            <w:tcBorders>
              <w:top w:val="single" w:sz="4" w:space="0" w:color="CBD5E1"/>
              <w:bottom w:val="single" w:sz="4" w:space="0" w:color="CBD5E1"/>
              <w:left w:val="none"/>
              <w:right w:val="none"/>
            </w:tcBorders>
          </w:tcPr>
          <w:p>
            <w:r>
              <w:rPr>
                <w:color w:val="1F2937"/>
                <w:sz w:val="18"/>
              </w:rPr>
              <w:t>Total Ergun pressure drop across the 1.0\text{ m} bed is 0.0337\text{ bar} (0.08\% of 40\text{ bar}).</w:t>
            </w:r>
          </w:p>
        </w:tc>
      </w:tr>
      <w:tr>
        <w:tc>
          <w:tcPr>
            <w:tcW w:type="dxa" w:w="3120"/>
            <w:tcBorders>
              <w:top w:val="single" w:sz="4" w:space="0" w:color="CBD5E1"/>
              <w:bottom w:val="single" w:sz="4" w:space="0" w:color="CBD5E1"/>
              <w:left w:val="none"/>
              <w:right w:val="none"/>
            </w:tcBorders>
          </w:tcPr>
          <w:p>
            <w:r>
              <w:rPr>
                <w:color w:val="1F2937"/>
                <w:sz w:val="18"/>
              </w:rPr>
              <w:t>Permeate Pressure</w:t>
            </w:r>
          </w:p>
        </w:tc>
        <w:tc>
          <w:tcPr>
            <w:tcW w:type="dxa" w:w="3120"/>
            <w:tcBorders>
              <w:top w:val="single" w:sz="4" w:space="0" w:color="CBD5E1"/>
              <w:bottom w:val="single" w:sz="4" w:space="0" w:color="CBD5E1"/>
              <w:left w:val="none"/>
              <w:right w:val="none"/>
            </w:tcBorders>
          </w:tcPr>
          <w:p>
            <w:r>
              <w:rPr>
                <w:color w:val="1F2937"/>
                <w:sz w:val="18"/>
              </w:rPr>
              <w:t>Isobaric Permeate Sweep</w:t>
            </w:r>
          </w:p>
        </w:tc>
        <w:tc>
          <w:tcPr>
            <w:tcW w:type="dxa" w:w="3120"/>
            <w:tcBorders>
              <w:top w:val="single" w:sz="4" w:space="0" w:color="CBD5E1"/>
              <w:bottom w:val="single" w:sz="4" w:space="0" w:color="CBD5E1"/>
              <w:left w:val="none"/>
              <w:right w:val="none"/>
            </w:tcBorders>
          </w:tcPr>
          <w:p>
            <w:r>
              <w:rPr>
                <w:color w:val="1F2937"/>
                <w:sz w:val="18"/>
              </w:rPr>
              <w:t>Lumen Hagen-Poiseuille pressure drop is \Delta P = 262\text{ Pa} (0.0026\text{ bar}, &lt; 0.3\% of 1\text{ bar}).</w:t>
            </w:r>
          </w:p>
        </w:tc>
      </w:tr>
      <w:tr>
        <w:tc>
          <w:tcPr>
            <w:tcW w:type="dxa" w:w="3120"/>
            <w:tcBorders>
              <w:top w:val="single" w:sz="4" w:space="0" w:color="CBD5E1"/>
              <w:bottom w:val="single" w:sz="4" w:space="0" w:color="CBD5E1"/>
              <w:left w:val="none"/>
              <w:right w:val="none"/>
            </w:tcBorders>
          </w:tcPr>
          <w:p>
            <w:r>
              <w:rPr>
                <w:color w:val="1F2937"/>
                <w:sz w:val="18"/>
              </w:rPr>
              <w:t>Thermal Regime</w:t>
            </w:r>
          </w:p>
        </w:tc>
        <w:tc>
          <w:tcPr>
            <w:tcW w:type="dxa" w:w="3120"/>
            <w:tcBorders>
              <w:top w:val="single" w:sz="4" w:space="0" w:color="CBD5E1"/>
              <w:bottom w:val="single" w:sz="4" w:space="0" w:color="CBD5E1"/>
              <w:left w:val="none"/>
              <w:right w:val="none"/>
            </w:tcBorders>
          </w:tcPr>
          <w:p>
            <w:r>
              <w:rPr>
                <w:color w:val="1F2937"/>
                <w:sz w:val="18"/>
              </w:rPr>
              <w:t>Isothermal Bed (T = 250^\circ\text{C})</w:t>
            </w:r>
          </w:p>
        </w:tc>
        <w:tc>
          <w:tcPr>
            <w:tcW w:type="dxa" w:w="3120"/>
            <w:tcBorders>
              <w:top w:val="single" w:sz="4" w:space="0" w:color="CBD5E1"/>
              <w:bottom w:val="single" w:sz="4" w:space="0" w:color="CBD5E1"/>
              <w:left w:val="none"/>
              <w:right w:val="none"/>
            </w:tcBorders>
          </w:tcPr>
          <w:p>
            <w:r>
              <w:rPr>
                <w:color w:val="1F2937"/>
                <w:sz w:val="18"/>
              </w:rPr>
              <w:t>Enforces direct geometric and kinetic comparison; practical implementation relies on circulating molten salt cooling jackets.</w:t>
            </w:r>
          </w:p>
        </w:tc>
      </w:tr>
      <w:tr>
        <w:tc>
          <w:tcPr>
            <w:tcW w:type="dxa" w:w="3120"/>
            <w:tcBorders>
              <w:top w:val="single" w:sz="4" w:space="0" w:color="CBD5E1"/>
              <w:bottom w:val="single" w:sz="4" w:space="0" w:color="CBD5E1"/>
              <w:left w:val="none"/>
              <w:right w:val="none"/>
            </w:tcBorders>
          </w:tcPr>
          <w:p>
            <w:r>
              <w:rPr>
                <w:color w:val="1F2937"/>
                <w:sz w:val="18"/>
              </w:rPr>
              <w:t>External Mass Transfer</w:t>
            </w:r>
          </w:p>
        </w:tc>
        <w:tc>
          <w:tcPr>
            <w:tcW w:type="dxa" w:w="3120"/>
            <w:tcBorders>
              <w:top w:val="single" w:sz="4" w:space="0" w:color="CBD5E1"/>
              <w:bottom w:val="single" w:sz="4" w:space="0" w:color="CBD5E1"/>
              <w:left w:val="none"/>
              <w:right w:val="none"/>
            </w:tcBorders>
          </w:tcPr>
          <w:p>
            <w:r>
              <w:rPr>
                <w:color w:val="1F2937"/>
                <w:sz w:val="18"/>
              </w:rPr>
              <w:t>Negligible Film Resistance</w:t>
            </w:r>
          </w:p>
        </w:tc>
        <w:tc>
          <w:tcPr>
            <w:tcW w:type="dxa" w:w="3120"/>
            <w:tcBorders>
              <w:top w:val="single" w:sz="4" w:space="0" w:color="CBD5E1"/>
              <w:bottom w:val="single" w:sz="4" w:space="0" w:color="CBD5E1"/>
              <w:left w:val="none"/>
              <w:right w:val="none"/>
            </w:tcBorders>
          </w:tcPr>
          <w:p>
            <w:r>
              <w:rPr>
                <w:color w:val="1F2937"/>
                <w:sz w:val="18"/>
              </w:rPr>
              <w:t>Pellet surface Reynolds number confirms Mears criterion C{\text{Mears}} = 0.02 \ll 0.15; external boundary layer transport is not rate-limiting.</w:t>
            </w:r>
          </w:p>
        </w:tc>
      </w:tr>
      <w:tr>
        <w:tc>
          <w:tcPr>
            <w:tcW w:type="dxa" w:w="3120"/>
            <w:tcBorders>
              <w:top w:val="single" w:sz="4" w:space="0" w:color="CBD5E1"/>
              <w:bottom w:val="single" w:sz="4" w:space="0" w:color="CBD5E1"/>
              <w:left w:val="none"/>
              <w:right w:val="none"/>
            </w:tcBorders>
          </w:tcPr>
          <w:p>
            <w:r>
              <w:rPr>
                <w:color w:val="1F2937"/>
                <w:sz w:val="18"/>
              </w:rPr>
              <w:t>Internal Pore Diffusion</w:t>
            </w:r>
          </w:p>
        </w:tc>
        <w:tc>
          <w:tcPr>
            <w:tcW w:type="dxa" w:w="3120"/>
            <w:tcBorders>
              <w:top w:val="single" w:sz="4" w:space="0" w:color="CBD5E1"/>
              <w:bottom w:val="single" w:sz="4" w:space="0" w:color="CBD5E1"/>
              <w:left w:val="none"/>
              <w:right w:val="none"/>
            </w:tcBorders>
          </w:tcPr>
          <w:p>
            <w:r>
              <w:rPr>
                <w:color w:val="1F2937"/>
                <w:sz w:val="18"/>
              </w:rPr>
              <w:t>High Effectiveness (\eta \approx 0.90)</w:t>
            </w:r>
          </w:p>
        </w:tc>
        <w:tc>
          <w:tcPr>
            <w:tcW w:type="dxa" w:w="3120"/>
            <w:tcBorders>
              <w:top w:val="single" w:sz="4" w:space="0" w:color="CBD5E1"/>
              <w:bottom w:val="single" w:sz="4" w:space="0" w:color="CBD5E1"/>
              <w:left w:val="none"/>
              <w:right w:val="none"/>
            </w:tcBorders>
          </w:tcPr>
          <w:p>
            <w:r>
              <w:rPr>
                <w:color w:val="1F2937"/>
                <w:sz w:val="18"/>
              </w:rPr>
              <w:t>Micro-pellets (dp = 0.30\text{ mm}) yield Weisz-Prater modulus \Phi{\text{WP}} = 0.18 &lt; 0.30, confirming minimal pore diffusion resistance.</w:t>
            </w:r>
          </w:p>
        </w:tc>
      </w:tr>
      <w:tr>
        <w:tc>
          <w:tcPr>
            <w:tcW w:type="dxa" w:w="3120"/>
            <w:tcBorders>
              <w:top w:val="single" w:sz="4" w:space="0" w:color="CBD5E1"/>
              <w:bottom w:val="single" w:sz="4" w:space="0" w:color="CBD5E1"/>
              <w:left w:val="none"/>
              <w:right w:val="none"/>
            </w:tcBorders>
          </w:tcPr>
          <w:p>
            <w:r>
              <w:rPr>
                <w:color w:val="1F2937"/>
                <w:sz w:val="18"/>
              </w:rPr>
              <w:t>Thermodynamics</w:t>
            </w:r>
          </w:p>
        </w:tc>
        <w:tc>
          <w:tcPr>
            <w:tcW w:type="dxa" w:w="3120"/>
            <w:tcBorders>
              <w:top w:val="single" w:sz="4" w:space="0" w:color="CBD5E1"/>
              <w:bottom w:val="single" w:sz="4" w:space="0" w:color="CBD5E1"/>
              <w:left w:val="none"/>
              <w:right w:val="none"/>
            </w:tcBorders>
          </w:tcPr>
          <w:p>
            <w:r>
              <w:rPr>
                <w:color w:val="1F2937"/>
                <w:sz w:val="18"/>
              </w:rPr>
              <w:t>Ideal Gas Partial Pressures</w:t>
            </w:r>
          </w:p>
        </w:tc>
        <w:tc>
          <w:tcPr>
            <w:tcW w:type="dxa" w:w="3120"/>
            <w:tcBorders>
              <w:top w:val="single" w:sz="4" w:space="0" w:color="CBD5E1"/>
              <w:bottom w:val="single" w:sz="4" w:space="0" w:color="CBD5E1"/>
              <w:left w:val="none"/>
              <w:right w:val="none"/>
            </w:tcBorders>
          </w:tcPr>
          <w:p>
            <w:r>
              <w:rPr>
                <w:color w:val="1F2937"/>
                <w:sz w:val="18"/>
              </w:rPr>
              <w:t>Validated for species partial pressure ratios up to 40\text{ bar} at 523.15\text{ K}; compressibility factor Z \approx 0.95\text{--}0.98.</w:t>
            </w:r>
          </w:p>
        </w:tc>
      </w:tr>
      <w:tr>
        <w:tc>
          <w:tcPr>
            <w:tcW w:type="dxa" w:w="3120"/>
            <w:tcBorders>
              <w:top w:val="single" w:sz="4" w:space="0" w:color="CBD5E1"/>
              <w:bottom w:val="single" w:sz="4" w:space="0" w:color="CBD5E1"/>
              <w:left w:val="none"/>
              <w:right w:val="none"/>
            </w:tcBorders>
          </w:tcPr>
          <w:p>
            <w:r>
              <w:rPr>
                <w:color w:val="1F2937"/>
                <w:sz w:val="18"/>
              </w:rPr>
              <w:t>Membrane Separation</w:t>
            </w:r>
          </w:p>
        </w:tc>
        <w:tc>
          <w:tcPr>
            <w:tcW w:type="dxa" w:w="3120"/>
            <w:tcBorders>
              <w:top w:val="single" w:sz="4" w:space="0" w:color="CBD5E1"/>
              <w:bottom w:val="single" w:sz="4" w:space="0" w:color="CBD5E1"/>
              <w:left w:val="none"/>
              <w:right w:val="none"/>
            </w:tcBorders>
          </w:tcPr>
          <w:p>
            <w:r>
              <w:rPr>
                <w:color w:val="1F2937"/>
                <w:sz w:val="18"/>
              </w:rPr>
              <w:t>Solution-Diffusion Pore Flow</w:t>
            </w:r>
          </w:p>
        </w:tc>
        <w:tc>
          <w:tcPr>
            <w:tcW w:type="dxa" w:w="3120"/>
            <w:tcBorders>
              <w:top w:val="single" w:sz="4" w:space="0" w:color="CBD5E1"/>
              <w:bottom w:val="single" w:sz="4" w:space="0" w:color="CBD5E1"/>
              <w:left w:val="none"/>
              <w:right w:val="none"/>
            </w:tcBorders>
          </w:tcPr>
          <w:p>
            <w:r>
              <w:rPr>
                <w:color w:val="1F2937"/>
                <w:sz w:val="18"/>
              </w:rPr>
              <w:t>Hydrophilic sub-nanometer NaA pores (0.4\text{ nm}) selectively transport water (0.28\text{ nm}) while excluding larger hydrocarbons (\text{DME} = 0.43\text{ nm}).</w:t>
            </w:r>
          </w:p>
        </w:tc>
      </w:tr>
      <w:tr>
        <w:tc>
          <w:tcPr>
            <w:tcW w:type="dxa" w:w="3120"/>
            <w:tcBorders>
              <w:top w:val="single" w:sz="4" w:space="0" w:color="CBD5E1"/>
              <w:bottom w:val="single" w:sz="4" w:space="0" w:color="CBD5E1"/>
              <w:left w:val="none"/>
              <w:right w:val="none"/>
            </w:tcBorders>
          </w:tcPr>
          <w:p>
            <w:r>
              <w:rPr>
                <w:color w:val="1F2937"/>
                <w:sz w:val="18"/>
              </w:rPr>
              <w:t>Catalyst Packing</w:t>
            </w:r>
          </w:p>
        </w:tc>
        <w:tc>
          <w:tcPr>
            <w:tcW w:type="dxa" w:w="3120"/>
            <w:tcBorders>
              <w:top w:val="single" w:sz="4" w:space="0" w:color="CBD5E1"/>
              <w:bottom w:val="single" w:sz="4" w:space="0" w:color="CBD5E1"/>
              <w:left w:val="none"/>
              <w:right w:val="none"/>
            </w:tcBorders>
          </w:tcPr>
          <w:p>
            <w:r>
              <w:rPr>
                <w:color w:val="1F2937"/>
                <w:sz w:val="18"/>
              </w:rPr>
              <w:t>Stable Packed Bed (No Bridging)</w:t>
            </w:r>
          </w:p>
        </w:tc>
        <w:tc>
          <w:tcPr>
            <w:tcW w:type="dxa" w:w="3120"/>
            <w:tcBorders>
              <w:top w:val="single" w:sz="4" w:space="0" w:color="CBD5E1"/>
              <w:bottom w:val="single" w:sz="4" w:space="0" w:color="CBD5E1"/>
              <w:left w:val="none"/>
              <w:right w:val="none"/>
            </w:tcBorders>
          </w:tcPr>
          <w:p>
            <w:r>
              <w:rPr>
                <w:color w:val="1F2937"/>
                <w:sz w:val="18"/>
              </w:rPr>
              <w:t>Inter-tube gap-to-pellet ratio satisfies Happel-Brenner criterion: \delta / dp = 2.071 / 0.30 = 6.90 \ge 5.0.</w:t>
            </w:r>
          </w:p>
        </w:tc>
      </w:tr>
    </w:tbl>
    <w:p/>
    <w:p>
      <w:pPr>
        <w:spacing w:before="280" w:after="120"/>
      </w:pPr>
      <w:r>
        <w:rPr>
          <w:b/>
          <w:color w:val="475569"/>
          <w:sz w:val="28"/>
        </w:rPr>
        <w:t xml:space="preserve"> 8. Dimensionless Quantities &amp; Transport Criteria</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Borders>
              <w:top w:val="single" w:sz="4" w:space="0" w:color="CBD5E1"/>
              <w:bottom w:val="single" w:sz="4" w:space="0" w:color="CBD5E1"/>
              <w:left w:val="none"/>
              <w:right w:val="none"/>
            </w:tcBorders>
          </w:tcPr>
          <w:p>
            <w:pPr>
              <w:jc w:val="center"/>
            </w:pPr>
            <w:r>
              <w:rPr>
                <w:b/>
                <w:color w:val="475569"/>
                <w:sz w:val="19"/>
              </w:rPr>
              <w:t>Dimensionless Group</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Defining Formula</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Value in Model</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Physical Role in Reactor Analysis</w:t>
            </w:r>
          </w:p>
        </w:tc>
      </w:tr>
      <w:tr>
        <w:tc>
          <w:tcPr>
            <w:tcW w:type="dxa" w:w="2340"/>
            <w:tcBorders>
              <w:top w:val="single" w:sz="4" w:space="0" w:color="CBD5E1"/>
              <w:bottom w:val="single" w:sz="4" w:space="0" w:color="CBD5E1"/>
              <w:left w:val="none"/>
              <w:right w:val="none"/>
            </w:tcBorders>
          </w:tcPr>
          <w:p>
            <w:r>
              <w:rPr>
                <w:color w:val="1F2937"/>
                <w:sz w:val="18"/>
              </w:rPr>
              <w:t>Permeation Damköhler (Da{\text{perm}})</w:t>
            </w:r>
          </w:p>
        </w:tc>
        <w:tc>
          <w:tcPr>
            <w:tcW w:type="dxa" w:w="2340"/>
            <w:tcBorders>
              <w:top w:val="single" w:sz="4" w:space="0" w:color="CBD5E1"/>
              <w:bottom w:val="single" w:sz="4" w:space="0" w:color="CBD5E1"/>
              <w:left w:val="none"/>
              <w:right w:val="none"/>
            </w:tcBorders>
          </w:tcPr>
          <w:p>
            <w:pPr>
              <w:jc w:val="center"/>
            </w:pPr>
            <w:r>
              <w:rPr>
                <w:color w:val="1F2937"/>
                <w:sz w:val="18"/>
              </w:rPr>
              <w:t>\frac{r{\text{gen},\text{H}2\text{O}}}{J{\text{perm},\text{H}2\text{O}} \cdot av}</w:t>
            </w:r>
          </w:p>
        </w:tc>
        <w:tc>
          <w:tcPr>
            <w:tcW w:type="dxa" w:w="2340"/>
            <w:tcBorders>
              <w:top w:val="single" w:sz="4" w:space="0" w:color="CBD5E1"/>
              <w:bottom w:val="single" w:sz="4" w:space="0" w:color="CBD5E1"/>
              <w:left w:val="none"/>
              <w:right w:val="none"/>
            </w:tcBorders>
          </w:tcPr>
          <w:p>
            <w:pPr>
              <w:jc w:val="center"/>
            </w:pPr>
            <w:r>
              <w:rPr>
                <w:color w:val="1F2937"/>
                <w:sz w:val="18"/>
              </w:rPr>
              <w:t>0.98\text{--}1.05</w:t>
            </w:r>
          </w:p>
        </w:tc>
        <w:tc>
          <w:tcPr>
            <w:tcW w:type="dxa" w:w="2340"/>
            <w:tcBorders>
              <w:top w:val="single" w:sz="4" w:space="0" w:color="CBD5E1"/>
              <w:bottom w:val="single" w:sz="4" w:space="0" w:color="CBD5E1"/>
              <w:left w:val="none"/>
              <w:right w:val="none"/>
            </w:tcBorders>
          </w:tcPr>
          <w:p>
            <w:pPr>
              <w:jc w:val="center"/>
            </w:pPr>
            <w:r>
              <w:rPr>
                <w:color w:val="1F2937"/>
                <w:sz w:val="18"/>
              </w:rPr>
              <w:t>Synchronizes water extraction with generation rate. Da \approx 1 maximizes equilibrium shift.</w:t>
            </w:r>
          </w:p>
        </w:tc>
      </w:tr>
      <w:tr>
        <w:tc>
          <w:tcPr>
            <w:tcW w:type="dxa" w:w="2340"/>
            <w:tcBorders>
              <w:top w:val="single" w:sz="4" w:space="0" w:color="CBD5E1"/>
              <w:bottom w:val="single" w:sz="4" w:space="0" w:color="CBD5E1"/>
              <w:left w:val="none"/>
              <w:right w:val="none"/>
            </w:tcBorders>
          </w:tcPr>
          <w:p>
            <w:r>
              <w:rPr>
                <w:color w:val="1F2937"/>
                <w:sz w:val="18"/>
              </w:rPr>
              <w:t>Axial Péclet Number (Pe{\text{ax}})</w:t>
            </w:r>
          </w:p>
        </w:tc>
        <w:tc>
          <w:tcPr>
            <w:tcW w:type="dxa" w:w="2340"/>
            <w:tcBorders>
              <w:top w:val="single" w:sz="4" w:space="0" w:color="CBD5E1"/>
              <w:bottom w:val="single" w:sz="4" w:space="0" w:color="CBD5E1"/>
              <w:left w:val="none"/>
              <w:right w:val="none"/>
            </w:tcBorders>
          </w:tcPr>
          <w:p>
            <w:pPr>
              <w:jc w:val="center"/>
            </w:pPr>
            <w:r>
              <w:rPr>
                <w:color w:val="1F2937"/>
                <w:sz w:val="18"/>
              </w:rPr>
              <w:t>\frac{us L}{D{\text{ax}}}</w:t>
            </w:r>
          </w:p>
        </w:tc>
        <w:tc>
          <w:tcPr>
            <w:tcW w:type="dxa" w:w="2340"/>
            <w:tcBorders>
              <w:top w:val="single" w:sz="4" w:space="0" w:color="CBD5E1"/>
              <w:bottom w:val="single" w:sz="4" w:space="0" w:color="CBD5E1"/>
              <w:left w:val="none"/>
              <w:right w:val="none"/>
            </w:tcBorders>
          </w:tcPr>
          <w:p>
            <w:pPr>
              <w:jc w:val="center"/>
            </w:pPr>
            <w:r>
              <w:rPr>
                <w:color w:val="1F2937"/>
                <w:sz w:val="18"/>
              </w:rPr>
              <w:t>&gt; 300</w:t>
            </w:r>
          </w:p>
        </w:tc>
        <w:tc>
          <w:tcPr>
            <w:tcW w:type="dxa" w:w="2340"/>
            <w:tcBorders>
              <w:top w:val="single" w:sz="4" w:space="0" w:color="CBD5E1"/>
              <w:bottom w:val="single" w:sz="4" w:space="0" w:color="CBD5E1"/>
              <w:left w:val="none"/>
              <w:right w:val="none"/>
            </w:tcBorders>
          </w:tcPr>
          <w:p>
            <w:pPr>
              <w:jc w:val="center"/>
            </w:pPr>
            <w:r>
              <w:rPr>
                <w:color w:val="1F2937"/>
                <w:sz w:val="18"/>
              </w:rPr>
              <w:t>Confirms convective transport vastly exceeds axial backmixing.</w:t>
            </w:r>
          </w:p>
        </w:tc>
      </w:tr>
      <w:tr>
        <w:tc>
          <w:tcPr>
            <w:tcW w:type="dxa" w:w="2340"/>
            <w:tcBorders>
              <w:top w:val="single" w:sz="4" w:space="0" w:color="CBD5E1"/>
              <w:bottom w:val="single" w:sz="4" w:space="0" w:color="CBD5E1"/>
              <w:left w:val="none"/>
              <w:right w:val="none"/>
            </w:tcBorders>
          </w:tcPr>
          <w:p>
            <w:r>
              <w:rPr>
                <w:color w:val="1F2937"/>
                <w:sz w:val="18"/>
              </w:rPr>
              <w:t>Bed Reynolds Number (Rep)</w:t>
            </w:r>
          </w:p>
        </w:tc>
        <w:tc>
          <w:tcPr>
            <w:tcW w:type="dxa" w:w="2340"/>
            <w:tcBorders>
              <w:top w:val="single" w:sz="4" w:space="0" w:color="CBD5E1"/>
              <w:bottom w:val="single" w:sz="4" w:space="0" w:color="CBD5E1"/>
              <w:left w:val="none"/>
              <w:right w:val="none"/>
            </w:tcBorders>
          </w:tcPr>
          <w:p>
            <w:pPr>
              <w:jc w:val="center"/>
            </w:pPr>
            <w:r>
              <w:rPr>
                <w:color w:val="1F2937"/>
                <w:sz w:val="18"/>
              </w:rPr>
              <w:t>\frac{\rhog us dp}{\mug (1 - \varepsilonb)}</w:t>
            </w:r>
          </w:p>
        </w:tc>
        <w:tc>
          <w:tcPr>
            <w:tcW w:type="dxa" w:w="2340"/>
            <w:tcBorders>
              <w:top w:val="single" w:sz="4" w:space="0" w:color="CBD5E1"/>
              <w:bottom w:val="single" w:sz="4" w:space="0" w:color="CBD5E1"/>
              <w:left w:val="none"/>
              <w:right w:val="none"/>
            </w:tcBorders>
          </w:tcPr>
          <w:p>
            <w:pPr>
              <w:jc w:val="center"/>
            </w:pPr>
            <w:r>
              <w:rPr>
                <w:color w:val="1F2937"/>
                <w:sz w:val="18"/>
              </w:rPr>
              <w:t>6.4</w:t>
            </w:r>
          </w:p>
        </w:tc>
        <w:tc>
          <w:tcPr>
            <w:tcW w:type="dxa" w:w="2340"/>
            <w:tcBorders>
              <w:top w:val="single" w:sz="4" w:space="0" w:color="CBD5E1"/>
              <w:bottom w:val="single" w:sz="4" w:space="0" w:color="CBD5E1"/>
              <w:left w:val="none"/>
              <w:right w:val="none"/>
            </w:tcBorders>
          </w:tcPr>
          <w:p>
            <w:pPr>
              <w:jc w:val="center"/>
            </w:pPr>
            <w:r>
              <w:rPr>
                <w:color w:val="1F2937"/>
                <w:sz w:val="18"/>
              </w:rPr>
              <w:t>Transition-laminar regime; viscous friction dominates over turbulent eddies.</w:t>
            </w:r>
          </w:p>
        </w:tc>
      </w:tr>
      <w:tr>
        <w:tc>
          <w:tcPr>
            <w:tcW w:type="dxa" w:w="2340"/>
            <w:tcBorders>
              <w:top w:val="single" w:sz="4" w:space="0" w:color="CBD5E1"/>
              <w:bottom w:val="single" w:sz="4" w:space="0" w:color="CBD5E1"/>
              <w:left w:val="none"/>
              <w:right w:val="none"/>
            </w:tcBorders>
          </w:tcPr>
          <w:p>
            <w:r>
              <w:rPr>
                <w:color w:val="1F2937"/>
                <w:sz w:val="18"/>
              </w:rPr>
              <w:t>Lumen Reynolds Number (Re{\text{lumen}})</w:t>
            </w:r>
          </w:p>
        </w:tc>
        <w:tc>
          <w:tcPr>
            <w:tcW w:type="dxa" w:w="2340"/>
            <w:tcBorders>
              <w:top w:val="single" w:sz="4" w:space="0" w:color="CBD5E1"/>
              <w:bottom w:val="single" w:sz="4" w:space="0" w:color="CBD5E1"/>
              <w:left w:val="none"/>
              <w:right w:val="none"/>
            </w:tcBorders>
          </w:tcPr>
          <w:p>
            <w:pPr>
              <w:jc w:val="center"/>
            </w:pPr>
            <w:r>
              <w:rPr>
                <w:color w:val="1F2937"/>
                <w:sz w:val="18"/>
              </w:rPr>
              <w:t>\frac{\rho{\text{sw}} u{\text{sw}} d{\text{in}}}{\mu{\text{sw}}}</w:t>
            </w:r>
          </w:p>
        </w:tc>
        <w:tc>
          <w:tcPr>
            <w:tcW w:type="dxa" w:w="2340"/>
            <w:tcBorders>
              <w:top w:val="single" w:sz="4" w:space="0" w:color="CBD5E1"/>
              <w:bottom w:val="single" w:sz="4" w:space="0" w:color="CBD5E1"/>
              <w:left w:val="none"/>
              <w:right w:val="none"/>
            </w:tcBorders>
          </w:tcPr>
          <w:p>
            <w:pPr>
              <w:jc w:val="center"/>
            </w:pPr>
            <w:r>
              <w:rPr>
                <w:color w:val="1F2937"/>
                <w:sz w:val="18"/>
              </w:rPr>
              <w:t>284 (4-Tube)</w:t>
            </w:r>
          </w:p>
        </w:tc>
        <w:tc>
          <w:tcPr>
            <w:tcW w:type="dxa" w:w="2340"/>
            <w:tcBorders>
              <w:top w:val="single" w:sz="4" w:space="0" w:color="CBD5E1"/>
              <w:bottom w:val="single" w:sz="4" w:space="0" w:color="CBD5E1"/>
              <w:left w:val="none"/>
              <w:right w:val="none"/>
            </w:tcBorders>
          </w:tcPr>
          <w:p>
            <w:pPr>
              <w:jc w:val="center"/>
            </w:pPr>
            <w:r>
              <w:rPr>
                <w:color w:val="1F2937"/>
                <w:sz w:val="18"/>
              </w:rPr>
              <w:t>Deep laminar flow inside lumens (Re &lt; 2100), ensuring smooth sweep without pressure spikes.</w:t>
            </w:r>
          </w:p>
        </w:tc>
      </w:tr>
      <w:tr>
        <w:tc>
          <w:tcPr>
            <w:tcW w:type="dxa" w:w="2340"/>
            <w:tcBorders>
              <w:top w:val="single" w:sz="4" w:space="0" w:color="CBD5E1"/>
              <w:bottom w:val="single" w:sz="4" w:space="0" w:color="CBD5E1"/>
              <w:left w:val="none"/>
              <w:right w:val="none"/>
            </w:tcBorders>
          </w:tcPr>
          <w:p>
            <w:r>
              <w:rPr>
                <w:color w:val="1F2937"/>
                <w:sz w:val="18"/>
              </w:rPr>
              <w:t>Happel-Brenner Ratio (\delta{\text{gap}} / dp)</w:t>
            </w:r>
          </w:p>
        </w:tc>
        <w:tc>
          <w:tcPr>
            <w:tcW w:type="dxa" w:w="2340"/>
            <w:tcBorders>
              <w:top w:val="single" w:sz="4" w:space="0" w:color="CBD5E1"/>
              <w:bottom w:val="single" w:sz="4" w:space="0" w:color="CBD5E1"/>
              <w:left w:val="none"/>
              <w:right w:val="none"/>
            </w:tcBorders>
          </w:tcPr>
          <w:p>
            <w:pPr>
              <w:jc w:val="center"/>
            </w:pPr>
            <w:r>
              <w:rPr>
                <w:color w:val="1F2937"/>
                <w:sz w:val="18"/>
              </w:rPr>
              <w:t>\frac{\text{Inter-tube Clearance}}{\text{Pellet Diameter}}</w:t>
            </w:r>
          </w:p>
        </w:tc>
        <w:tc>
          <w:tcPr>
            <w:tcW w:type="dxa" w:w="2340"/>
            <w:tcBorders>
              <w:top w:val="single" w:sz="4" w:space="0" w:color="CBD5E1"/>
              <w:bottom w:val="single" w:sz="4" w:space="0" w:color="CBD5E1"/>
              <w:left w:val="none"/>
              <w:right w:val="none"/>
            </w:tcBorders>
          </w:tcPr>
          <w:p>
            <w:pPr>
              <w:jc w:val="center"/>
            </w:pPr>
            <w:r>
              <w:rPr>
                <w:color w:val="1F2937"/>
                <w:sz w:val="18"/>
              </w:rPr>
              <w:t>6.90 \ge 5.0</w:t>
            </w:r>
          </w:p>
        </w:tc>
        <w:tc>
          <w:tcPr>
            <w:tcW w:type="dxa" w:w="2340"/>
            <w:tcBorders>
              <w:top w:val="single" w:sz="4" w:space="0" w:color="CBD5E1"/>
              <w:bottom w:val="single" w:sz="4" w:space="0" w:color="CBD5E1"/>
              <w:left w:val="none"/>
              <w:right w:val="none"/>
            </w:tcBorders>
          </w:tcPr>
          <w:p>
            <w:pPr>
              <w:jc w:val="center"/>
            </w:pPr>
            <w:r>
              <w:rPr>
                <w:color w:val="1F2937"/>
                <w:sz w:val="18"/>
              </w:rPr>
              <w:t>Confirms geometric gap accommodates at least 5 pellets, preventing bridging and channeling.</w:t>
            </w:r>
          </w:p>
        </w:tc>
      </w:tr>
      <w:tr>
        <w:tc>
          <w:tcPr>
            <w:tcW w:type="dxa" w:w="2340"/>
            <w:tcBorders>
              <w:top w:val="single" w:sz="4" w:space="0" w:color="CBD5E1"/>
              <w:bottom w:val="single" w:sz="4" w:space="0" w:color="CBD5E1"/>
              <w:left w:val="none"/>
              <w:right w:val="none"/>
            </w:tcBorders>
          </w:tcPr>
          <w:p>
            <w:r>
              <w:rPr>
                <w:color w:val="1F2937"/>
                <w:sz w:val="18"/>
              </w:rPr>
              <w:t>Weisz-Prater Modulus (\Phi{\text{WP}})</w:t>
            </w:r>
          </w:p>
        </w:tc>
        <w:tc>
          <w:tcPr>
            <w:tcW w:type="dxa" w:w="2340"/>
            <w:tcBorders>
              <w:top w:val="single" w:sz="4" w:space="0" w:color="CBD5E1"/>
              <w:bottom w:val="single" w:sz="4" w:space="0" w:color="CBD5E1"/>
              <w:left w:val="none"/>
              <w:right w:val="none"/>
            </w:tcBorders>
          </w:tcPr>
          <w:p>
            <w:pPr>
              <w:jc w:val="center"/>
            </w:pPr>
            <w:r>
              <w:rPr>
                <w:color w:val="1F2937"/>
                <w:sz w:val="18"/>
              </w:rPr>
              <w:t>\frac{r{\text{obs}} \rhop (dp/6)^2}{D{\text{eff}} C{s}}</w:t>
            </w:r>
          </w:p>
        </w:tc>
        <w:tc>
          <w:tcPr>
            <w:tcW w:type="dxa" w:w="2340"/>
            <w:tcBorders>
              <w:top w:val="single" w:sz="4" w:space="0" w:color="CBD5E1"/>
              <w:bottom w:val="single" w:sz="4" w:space="0" w:color="CBD5E1"/>
              <w:left w:val="none"/>
              <w:right w:val="none"/>
            </w:tcBorders>
          </w:tcPr>
          <w:p>
            <w:pPr>
              <w:jc w:val="center"/>
            </w:pPr>
            <w:r>
              <w:rPr>
                <w:color w:val="1F2937"/>
                <w:sz w:val="18"/>
              </w:rPr>
              <w:t>0.18 &lt; 0.30</w:t>
            </w:r>
          </w:p>
        </w:tc>
        <w:tc>
          <w:tcPr>
            <w:tcW w:type="dxa" w:w="2340"/>
            <w:tcBorders>
              <w:top w:val="single" w:sz="4" w:space="0" w:color="CBD5E1"/>
              <w:bottom w:val="single" w:sz="4" w:space="0" w:color="CBD5E1"/>
              <w:left w:val="none"/>
              <w:right w:val="none"/>
            </w:tcBorders>
          </w:tcPr>
          <w:p>
            <w:pPr>
              <w:jc w:val="center"/>
            </w:pPr>
            <w:r>
              <w:rPr>
                <w:color w:val="1F2937"/>
                <w:sz w:val="18"/>
              </w:rPr>
              <w:t>Confirms internal pore diffusion resistance is minimal (\eta \approx 0.90).</w:t>
            </w:r>
          </w:p>
        </w:tc>
      </w:tr>
      <w:tr>
        <w:tc>
          <w:tcPr>
            <w:tcW w:type="dxa" w:w="2340"/>
            <w:tcBorders>
              <w:top w:val="single" w:sz="4" w:space="0" w:color="CBD5E1"/>
              <w:bottom w:val="single" w:sz="4" w:space="0" w:color="CBD5E1"/>
              <w:left w:val="none"/>
              <w:right w:val="none"/>
            </w:tcBorders>
          </w:tcPr>
          <w:p>
            <w:r>
              <w:rPr>
                <w:color w:val="1F2937"/>
                <w:sz w:val="18"/>
              </w:rPr>
              <w:t>Mears Criterion (C{\text{Mears}})</w:t>
            </w:r>
          </w:p>
        </w:tc>
        <w:tc>
          <w:tcPr>
            <w:tcW w:type="dxa" w:w="2340"/>
            <w:tcBorders>
              <w:top w:val="single" w:sz="4" w:space="0" w:color="CBD5E1"/>
              <w:bottom w:val="single" w:sz="4" w:space="0" w:color="CBD5E1"/>
              <w:left w:val="none"/>
              <w:right w:val="none"/>
            </w:tcBorders>
          </w:tcPr>
          <w:p>
            <w:pPr>
              <w:jc w:val="center"/>
            </w:pPr>
            <w:r>
              <w:rPr>
                <w:color w:val="1F2937"/>
                <w:sz w:val="18"/>
              </w:rPr>
              <w:t>\frac{r{\text{obs}} \rhob (dp/2)}{kc Cb}</w:t>
            </w:r>
          </w:p>
        </w:tc>
        <w:tc>
          <w:tcPr>
            <w:tcW w:type="dxa" w:w="2340"/>
            <w:tcBorders>
              <w:top w:val="single" w:sz="4" w:space="0" w:color="CBD5E1"/>
              <w:bottom w:val="single" w:sz="4" w:space="0" w:color="CBD5E1"/>
              <w:left w:val="none"/>
              <w:right w:val="none"/>
            </w:tcBorders>
          </w:tcPr>
          <w:p>
            <w:pPr>
              <w:jc w:val="center"/>
            </w:pPr>
            <w:r>
              <w:rPr>
                <w:color w:val="1F2937"/>
                <w:sz w:val="18"/>
              </w:rPr>
              <w:t>0.02 \ll 0.15</w:t>
            </w:r>
          </w:p>
        </w:tc>
        <w:tc>
          <w:tcPr>
            <w:tcW w:type="dxa" w:w="2340"/>
            <w:tcBorders>
              <w:top w:val="single" w:sz="4" w:space="0" w:color="CBD5E1"/>
              <w:bottom w:val="single" w:sz="4" w:space="0" w:color="CBD5E1"/>
              <w:left w:val="none"/>
              <w:right w:val="none"/>
            </w:tcBorders>
          </w:tcPr>
          <w:p>
            <w:pPr>
              <w:jc w:val="center"/>
            </w:pPr>
            <w:r>
              <w:rPr>
                <w:color w:val="1F2937"/>
                <w:sz w:val="18"/>
              </w:rPr>
              <w:t>Confirms external gas film mass transfer resistance is negligible.</w:t>
            </w:r>
          </w:p>
        </w:tc>
      </w:tr>
    </w:tbl>
    <w:p/>
    <w:p>
      <w:pPr>
        <w:spacing w:before="280" w:after="120"/>
      </w:pPr>
      <w:r>
        <w:rPr>
          <w:b/>
          <w:color w:val="475569"/>
          <w:sz w:val="28"/>
        </w:rPr>
        <w:t xml:space="preserve"> 9. Reactor Topologies &amp; Invariant Geometric Baseline</w:t>
      </w:r>
    </w:p>
    <w:p>
      <w:pPr>
        <w:spacing w:before="40" w:after="80"/>
      </w:pPr>
      <w:r>
        <w:rPr>
          <w:color w:val="1F2937"/>
          <w:sz w:val="20"/>
        </w:rPr>
        <w:t>To eliminate scaling artifacts, **all primary bulk dimensions are held strictly invariant between both reactors**:</w:t>
      </w:r>
    </w:p>
    <w:p>
      <w:pPr>
        <w:spacing w:before="120" w:after="120"/>
      </w:pPr>
      <w:r>
        <w:rPr>
          <w:rFonts w:ascii="Courier New" w:hAnsi="Courier New"/>
          <w:color w:val="334155"/>
          <w:sz w:val="17"/>
        </w:rPr>
        <w:t>========================================================================================</w:t>
        <w:br/>
        <w:t xml:space="preserve">                      UNIFIED INVARIANT REACTOR BASELINE</w:t>
        <w:br/>
        <w:t>========================================================================================</w:t>
        <w:br/>
        <w:t xml:space="preserve">  Shell Inner Diameter (D_shell)     :  20.00 mm  (R_shell = 10.00 mm)</w:t>
        <w:br/>
        <w:t xml:space="preserve">  Reactor Active Length (L)          :   1.00 m   (1000.0 mm)</w:t>
        <w:br/>
        <w:t xml:space="preserve">  Catalyst Bed Cross-Section (Ac)    :   2.3562 cm^2 (75.00% of shell bore)</w:t>
        <w:br/>
        <w:t xml:space="preserve">  Catalyst Bed Volume (V_bed)        : 235.62 cm^3 (0.2356 L)</w:t>
        <w:br/>
        <w:t xml:space="preserve">  Catalyst Inventory (W_cat)         :   0.2827 kg (282.74 g @ rho_B = 1200 kg/m^3)</w:t>
        <w:br/>
        <w:t xml:space="preserve">  Total Shell Cross-Section (A_shell):   3.1416 cm^2 (314.16 mm^2)</w:t>
        <w:br/>
        <w:t xml:space="preserve">  Membrane Tube Cross-Section        :  25.00% of shell bore (78.54 mm^2)</w:t>
        <w:br/>
        <w:t xml:space="preserve">  Parasitic Voids / Fluid Bypass     :   0.00% (both designs fully catalyst-packed)</w:t>
        <w:br/>
        <w:t>========================================================================================</w:t>
      </w:r>
    </w:p>
    <w:p>
      <w:pPr>
        <w:spacing w:before="200" w:after="80"/>
      </w:pPr>
      <w:r>
        <w:rPr>
          <w:b/>
          <w:color w:val="475569"/>
          <w:sz w:val="24"/>
        </w:rPr>
        <w:t xml:space="preserve"> Invariance Proof</w:t>
      </w:r>
    </w:p>
    <w:p>
      <w:pPr>
        <w:spacing w:before="80" w:after="80"/>
        <w:jc w:val="center"/>
      </w:pPr>
      <w:r>
        <w:rPr>
          <w:i/>
          <w:color w:val="475569"/>
          <w:sz w:val="20"/>
        </w:rPr>
        <w:t>A_c = \frac{\pi}{4} D_{\text{shell}}^2 - N_t \left( \frac{\pi}{4} d_t^2 \right)</w:t>
      </w:r>
    </w:p>
    <w:p>
      <w:pPr>
        <w:pStyle w:val="ListBullet"/>
        <w:spacing w:before="20" w:after="40"/>
      </w:pPr>
      <w:r>
        <w:rPr>
          <w:color w:val="1F2937"/>
          <w:sz w:val="20"/>
        </w:rPr>
        <w:t>**Single-Tube CMR:** A_{c,1} = \frac{\pi}{4}(20.00^2 - 1 \times 10.00^2) \times 10^{-6} = \frac{300 \pi}{4} \times 10^{-6} = \mathbf{2.3562\text{ cm}^2}</w:t>
      </w:r>
    </w:p>
    <w:p>
      <w:pPr>
        <w:pStyle w:val="ListBullet"/>
        <w:spacing w:before="20" w:after="40"/>
      </w:pPr>
      <w:r>
        <w:rPr>
          <w:color w:val="1F2937"/>
          <w:sz w:val="20"/>
        </w:rPr>
        <w:t>**Four-Tube Shell-Packed CMR:** A_{c,4} = \frac{\pi}{4}(20.00^2 - 4 \times 5.00^2) \times 10^{-6} = \frac{300 \pi}{4} \times 10^{-6} = \mathbf{2.3562\text{ cm}^2}</w:t>
      </w:r>
    </w:p>
    <w:p>
      <w:pPr>
        <w:spacing w:before="40" w:after="80"/>
      </w:pPr>
      <w:r>
        <w:rPr>
          <w:color w:val="1F2937"/>
          <w:sz w:val="20"/>
        </w:rPr>
        <w:t>Both reactors hold identical catalyst mass (0.2827\text{ kg}) and receive identical syngas feed (2.9200\text{ mmol/s}, 3.93\text{ NL/min}).</w:t>
      </w:r>
    </w:p>
    <w:p>
      <w:pPr>
        <w:spacing w:before="280" w:after="120"/>
      </w:pPr>
      <w:r>
        <w:rPr>
          <w:b/>
          <w:color w:val="475569"/>
          <w:sz w:val="28"/>
        </w:rPr>
        <w:t xml:space="preserve"> 10. Detailed Dimension &amp; Spatial Clearance Comparison</w:t>
      </w:r>
    </w:p>
    <w:p>
      <w:pPr>
        <w:spacing w:before="160" w:after="4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dme_reactor_architectures_dimensions.png"/>
                    <pic:cNvPicPr/>
                  </pic:nvPicPr>
                  <pic:blipFill>
                    <a:blip r:embed="rId9"/>
                    <a:stretch>
                      <a:fillRect/>
                    </a:stretch>
                  </pic:blipFill>
                  <pic:spPr>
                    <a:xfrm>
                      <a:off x="0" y="0"/>
                      <a:ext cx="5486400" cy="2743200"/>
                    </a:xfrm>
                    <a:prstGeom prst="rect"/>
                  </pic:spPr>
                </pic:pic>
              </a:graphicData>
            </a:graphic>
          </wp:inline>
        </w:drawing>
      </w:r>
    </w:p>
    <w:p>
      <w:pPr>
        <w:spacing w:after="160"/>
        <w:jc w:val="center"/>
      </w:pPr>
      <w:r>
        <w:rPr>
          <w:i/>
          <w:color w:val="6B7280"/>
          <w:sz w:val="18"/>
        </w:rPr>
        <w:t>Figure: Reactor Architectures &amp; Technical Dimensions</w:t>
      </w:r>
    </w:p>
    <w:p>
      <w:pPr>
        <w:spacing w:before="160" w:after="40"/>
        <w:jc w:val="center"/>
      </w:pPr>
      <w:r>
        <w:drawing>
          <wp:inline xmlns:a="http://schemas.openxmlformats.org/drawingml/2006/main" xmlns:pic="http://schemas.openxmlformats.org/drawingml/2006/picture">
            <wp:extent cx="5486400" cy="5599814"/>
            <wp:docPr id="2" name="Picture 2"/>
            <wp:cNvGraphicFramePr>
              <a:graphicFrameLocks noChangeAspect="1"/>
            </wp:cNvGraphicFramePr>
            <a:graphic>
              <a:graphicData uri="http://schemas.openxmlformats.org/drawingml/2006/picture">
                <pic:pic>
                  <pic:nvPicPr>
                    <pic:cNvPr id="0" name="dme_shell_packed_3d_cutaway.png"/>
                    <pic:cNvPicPr/>
                  </pic:nvPicPr>
                  <pic:blipFill>
                    <a:blip r:embed="rId10"/>
                    <a:stretch>
                      <a:fillRect/>
                    </a:stretch>
                  </pic:blipFill>
                  <pic:spPr>
                    <a:xfrm>
                      <a:off x="0" y="0"/>
                      <a:ext cx="5486400" cy="5599814"/>
                    </a:xfrm>
                    <a:prstGeom prst="rect"/>
                  </pic:spPr>
                </pic:pic>
              </a:graphicData>
            </a:graphic>
          </wp:inline>
        </w:drawing>
      </w:r>
    </w:p>
    <w:p>
      <w:pPr>
        <w:spacing w:after="160"/>
        <w:jc w:val="center"/>
      </w:pPr>
      <w:r>
        <w:rPr>
          <w:i/>
          <w:color w:val="6B7280"/>
          <w:sz w:val="18"/>
        </w:rPr>
        <w:t>Figure: Four-Tube Shell-Packed 3D Cutaway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Borders>
              <w:top w:val="single" w:sz="4" w:space="0" w:color="CBD5E1"/>
              <w:bottom w:val="single" w:sz="4" w:space="0" w:color="CBD5E1"/>
              <w:left w:val="none"/>
              <w:right w:val="none"/>
            </w:tcBorders>
          </w:tcPr>
          <w:p>
            <w:pPr>
              <w:jc w:val="center"/>
            </w:pPr>
            <w:r>
              <w:rPr>
                <w:b/>
                <w:color w:val="475569"/>
                <w:sz w:val="19"/>
              </w:rPr>
              <w:t>Geometric Parameter</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Single-Tube Benchmark CMR</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Four-Tube Shell-Packed CMR</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Scaling Factor / Difference</w:t>
            </w:r>
          </w:p>
        </w:tc>
      </w:tr>
      <w:tr>
        <w:tc>
          <w:tcPr>
            <w:tcW w:type="dxa" w:w="2340"/>
            <w:tcBorders>
              <w:top w:val="single" w:sz="4" w:space="0" w:color="CBD5E1"/>
              <w:bottom w:val="single" w:sz="4" w:space="0" w:color="CBD5E1"/>
              <w:left w:val="none"/>
              <w:right w:val="none"/>
            </w:tcBorders>
          </w:tcPr>
          <w:p>
            <w:r>
              <w:rPr>
                <w:color w:val="1F2937"/>
                <w:sz w:val="18"/>
              </w:rPr>
              <w:t>Shell Inner Diameter (D{\text{shell}})</w:t>
            </w:r>
          </w:p>
        </w:tc>
        <w:tc>
          <w:tcPr>
            <w:tcW w:type="dxa" w:w="2340"/>
            <w:tcBorders>
              <w:top w:val="single" w:sz="4" w:space="0" w:color="CBD5E1"/>
              <w:bottom w:val="single" w:sz="4" w:space="0" w:color="CBD5E1"/>
              <w:left w:val="none"/>
              <w:right w:val="none"/>
            </w:tcBorders>
          </w:tcPr>
          <w:p>
            <w:pPr>
              <w:jc w:val="center"/>
            </w:pPr>
            <w:r>
              <w:rPr>
                <w:color w:val="1F2937"/>
                <w:sz w:val="18"/>
              </w:rPr>
              <w:t>20.00\text{ mm} (0.020\text{ m})</w:t>
            </w:r>
          </w:p>
        </w:tc>
        <w:tc>
          <w:tcPr>
            <w:tcW w:type="dxa" w:w="2340"/>
            <w:tcBorders>
              <w:top w:val="single" w:sz="4" w:space="0" w:color="CBD5E1"/>
              <w:bottom w:val="single" w:sz="4" w:space="0" w:color="CBD5E1"/>
              <w:left w:val="none"/>
              <w:right w:val="none"/>
            </w:tcBorders>
          </w:tcPr>
          <w:p>
            <w:pPr>
              <w:jc w:val="center"/>
            </w:pPr>
            <w:r>
              <w:rPr>
                <w:color w:val="1F2937"/>
                <w:sz w:val="18"/>
              </w:rPr>
              <w:t>20.00\text{ mm} (0.020\text{ m})</w:t>
            </w:r>
          </w:p>
        </w:tc>
        <w:tc>
          <w:tcPr>
            <w:tcW w:type="dxa" w:w="2340"/>
            <w:tcBorders>
              <w:top w:val="single" w:sz="4" w:space="0" w:color="CBD5E1"/>
              <w:bottom w:val="single" w:sz="4" w:space="0" w:color="CBD5E1"/>
              <w:left w:val="none"/>
              <w:right w:val="none"/>
            </w:tcBorders>
          </w:tcPr>
          <w:p>
            <w:pPr>
              <w:jc w:val="center"/>
            </w:pPr>
            <w:r>
              <w:rPr>
                <w:color w:val="1F2937"/>
                <w:sz w:val="18"/>
              </w:rPr>
              <w:t>Strictly Invariant (1.0\times)</w:t>
            </w:r>
          </w:p>
        </w:tc>
      </w:tr>
      <w:tr>
        <w:tc>
          <w:tcPr>
            <w:tcW w:type="dxa" w:w="2340"/>
            <w:tcBorders>
              <w:top w:val="single" w:sz="4" w:space="0" w:color="CBD5E1"/>
              <w:bottom w:val="single" w:sz="4" w:space="0" w:color="CBD5E1"/>
              <w:left w:val="none"/>
              <w:right w:val="none"/>
            </w:tcBorders>
          </w:tcPr>
          <w:p>
            <w:r>
              <w:rPr>
                <w:color w:val="1F2937"/>
                <w:sz w:val="18"/>
              </w:rPr>
              <w:t>Reactor Length (L)</w:t>
            </w:r>
          </w:p>
        </w:tc>
        <w:tc>
          <w:tcPr>
            <w:tcW w:type="dxa" w:w="2340"/>
            <w:tcBorders>
              <w:top w:val="single" w:sz="4" w:space="0" w:color="CBD5E1"/>
              <w:bottom w:val="single" w:sz="4" w:space="0" w:color="CBD5E1"/>
              <w:left w:val="none"/>
              <w:right w:val="none"/>
            </w:tcBorders>
          </w:tcPr>
          <w:p>
            <w:pPr>
              <w:jc w:val="center"/>
            </w:pPr>
            <w:r>
              <w:rPr>
                <w:color w:val="1F2937"/>
                <w:sz w:val="18"/>
              </w:rPr>
              <w:t>1000.0\text{ mm} (1.00\text{ m})</w:t>
            </w:r>
          </w:p>
        </w:tc>
        <w:tc>
          <w:tcPr>
            <w:tcW w:type="dxa" w:w="2340"/>
            <w:tcBorders>
              <w:top w:val="single" w:sz="4" w:space="0" w:color="CBD5E1"/>
              <w:bottom w:val="single" w:sz="4" w:space="0" w:color="CBD5E1"/>
              <w:left w:val="none"/>
              <w:right w:val="none"/>
            </w:tcBorders>
          </w:tcPr>
          <w:p>
            <w:pPr>
              <w:jc w:val="center"/>
            </w:pPr>
            <w:r>
              <w:rPr>
                <w:color w:val="1F2937"/>
                <w:sz w:val="18"/>
              </w:rPr>
              <w:t>1000.0\text{ mm} (1.00\text{ m})</w:t>
            </w:r>
          </w:p>
        </w:tc>
        <w:tc>
          <w:tcPr>
            <w:tcW w:type="dxa" w:w="2340"/>
            <w:tcBorders>
              <w:top w:val="single" w:sz="4" w:space="0" w:color="CBD5E1"/>
              <w:bottom w:val="single" w:sz="4" w:space="0" w:color="CBD5E1"/>
              <w:left w:val="none"/>
              <w:right w:val="none"/>
            </w:tcBorders>
          </w:tcPr>
          <w:p>
            <w:pPr>
              <w:jc w:val="center"/>
            </w:pPr>
            <w:r>
              <w:rPr>
                <w:color w:val="1F2937"/>
                <w:sz w:val="18"/>
              </w:rPr>
              <w:t>Strictly Invariant (1.0\times)</w:t>
            </w:r>
          </w:p>
        </w:tc>
      </w:tr>
      <w:tr>
        <w:tc>
          <w:tcPr>
            <w:tcW w:type="dxa" w:w="2340"/>
            <w:tcBorders>
              <w:top w:val="single" w:sz="4" w:space="0" w:color="CBD5E1"/>
              <w:bottom w:val="single" w:sz="4" w:space="0" w:color="CBD5E1"/>
              <w:left w:val="none"/>
              <w:right w:val="none"/>
            </w:tcBorders>
          </w:tcPr>
          <w:p>
            <w:r>
              <w:rPr>
                <w:color w:val="1F2937"/>
                <w:sz w:val="18"/>
              </w:rPr>
              <w:t>Active Bed Area (Ac)</w:t>
            </w:r>
          </w:p>
        </w:tc>
        <w:tc>
          <w:tcPr>
            <w:tcW w:type="dxa" w:w="2340"/>
            <w:tcBorders>
              <w:top w:val="single" w:sz="4" w:space="0" w:color="CBD5E1"/>
              <w:bottom w:val="single" w:sz="4" w:space="0" w:color="CBD5E1"/>
              <w:left w:val="none"/>
              <w:right w:val="none"/>
            </w:tcBorders>
          </w:tcPr>
          <w:p>
            <w:pPr>
              <w:jc w:val="center"/>
            </w:pPr>
            <w:r>
              <w:rPr>
                <w:color w:val="1F2937"/>
                <w:sz w:val="18"/>
              </w:rPr>
              <w:t>2.3562\text{ cm}^2</w:t>
            </w:r>
          </w:p>
        </w:tc>
        <w:tc>
          <w:tcPr>
            <w:tcW w:type="dxa" w:w="2340"/>
            <w:tcBorders>
              <w:top w:val="single" w:sz="4" w:space="0" w:color="CBD5E1"/>
              <w:bottom w:val="single" w:sz="4" w:space="0" w:color="CBD5E1"/>
              <w:left w:val="none"/>
              <w:right w:val="none"/>
            </w:tcBorders>
          </w:tcPr>
          <w:p>
            <w:pPr>
              <w:jc w:val="center"/>
            </w:pPr>
            <w:r>
              <w:rPr>
                <w:color w:val="1F2937"/>
                <w:sz w:val="18"/>
              </w:rPr>
              <w:t>2.3562\text{ cm}^2</w:t>
            </w:r>
          </w:p>
        </w:tc>
        <w:tc>
          <w:tcPr>
            <w:tcW w:type="dxa" w:w="2340"/>
            <w:tcBorders>
              <w:top w:val="single" w:sz="4" w:space="0" w:color="CBD5E1"/>
              <w:bottom w:val="single" w:sz="4" w:space="0" w:color="CBD5E1"/>
              <w:left w:val="none"/>
              <w:right w:val="none"/>
            </w:tcBorders>
          </w:tcPr>
          <w:p>
            <w:pPr>
              <w:jc w:val="center"/>
            </w:pPr>
            <w:r>
              <w:rPr>
                <w:color w:val="1F2937"/>
                <w:sz w:val="18"/>
              </w:rPr>
              <w:t>Strictly Invariant (1.0\times)</w:t>
            </w:r>
          </w:p>
        </w:tc>
      </w:tr>
      <w:tr>
        <w:tc>
          <w:tcPr>
            <w:tcW w:type="dxa" w:w="2340"/>
            <w:tcBorders>
              <w:top w:val="single" w:sz="4" w:space="0" w:color="CBD5E1"/>
              <w:bottom w:val="single" w:sz="4" w:space="0" w:color="CBD5E1"/>
              <w:left w:val="none"/>
              <w:right w:val="none"/>
            </w:tcBorders>
          </w:tcPr>
          <w:p>
            <w:r>
              <w:rPr>
                <w:color w:val="1F2937"/>
                <w:sz w:val="18"/>
              </w:rPr>
              <w:t>Catalyst Inventory (W{\text{cat}})</w:t>
            </w:r>
          </w:p>
        </w:tc>
        <w:tc>
          <w:tcPr>
            <w:tcW w:type="dxa" w:w="2340"/>
            <w:tcBorders>
              <w:top w:val="single" w:sz="4" w:space="0" w:color="CBD5E1"/>
              <w:bottom w:val="single" w:sz="4" w:space="0" w:color="CBD5E1"/>
              <w:left w:val="none"/>
              <w:right w:val="none"/>
            </w:tcBorders>
          </w:tcPr>
          <w:p>
            <w:pPr>
              <w:jc w:val="center"/>
            </w:pPr>
            <w:r>
              <w:rPr>
                <w:color w:val="1F2937"/>
                <w:sz w:val="18"/>
              </w:rPr>
              <w:t>0.2827\text{ kg} (282.74\text{ g})</w:t>
            </w:r>
          </w:p>
        </w:tc>
        <w:tc>
          <w:tcPr>
            <w:tcW w:type="dxa" w:w="2340"/>
            <w:tcBorders>
              <w:top w:val="single" w:sz="4" w:space="0" w:color="CBD5E1"/>
              <w:bottom w:val="single" w:sz="4" w:space="0" w:color="CBD5E1"/>
              <w:left w:val="none"/>
              <w:right w:val="none"/>
            </w:tcBorders>
          </w:tcPr>
          <w:p>
            <w:pPr>
              <w:jc w:val="center"/>
            </w:pPr>
            <w:r>
              <w:rPr>
                <w:color w:val="1F2937"/>
                <w:sz w:val="18"/>
              </w:rPr>
              <w:t>0.2827\text{ kg} (282.74\text{ g})</w:t>
            </w:r>
          </w:p>
        </w:tc>
        <w:tc>
          <w:tcPr>
            <w:tcW w:type="dxa" w:w="2340"/>
            <w:tcBorders>
              <w:top w:val="single" w:sz="4" w:space="0" w:color="CBD5E1"/>
              <w:bottom w:val="single" w:sz="4" w:space="0" w:color="CBD5E1"/>
              <w:left w:val="none"/>
              <w:right w:val="none"/>
            </w:tcBorders>
          </w:tcPr>
          <w:p>
            <w:pPr>
              <w:jc w:val="center"/>
            </w:pPr>
            <w:r>
              <w:rPr>
                <w:color w:val="1F2937"/>
                <w:sz w:val="18"/>
              </w:rPr>
              <w:t>Strictly Invariant (\rhoB = 1200\text{ kg/m}^3)</w:t>
            </w:r>
          </w:p>
        </w:tc>
      </w:tr>
      <w:tr>
        <w:tc>
          <w:tcPr>
            <w:tcW w:type="dxa" w:w="2340"/>
            <w:tcBorders>
              <w:top w:val="single" w:sz="4" w:space="0" w:color="CBD5E1"/>
              <w:bottom w:val="single" w:sz="4" w:space="0" w:color="CBD5E1"/>
              <w:left w:val="none"/>
              <w:right w:val="none"/>
            </w:tcBorders>
          </w:tcPr>
          <w:p>
            <w:r>
              <w:rPr>
                <w:color w:val="1F2937"/>
                <w:sz w:val="18"/>
              </w:rPr>
              <w:t>Number of Membrane Tubes (Nt)</w:t>
            </w:r>
          </w:p>
        </w:tc>
        <w:tc>
          <w:tcPr>
            <w:tcW w:type="dxa" w:w="2340"/>
            <w:tcBorders>
              <w:top w:val="single" w:sz="4" w:space="0" w:color="CBD5E1"/>
              <w:bottom w:val="single" w:sz="4" w:space="0" w:color="CBD5E1"/>
              <w:left w:val="none"/>
              <w:right w:val="none"/>
            </w:tcBorders>
          </w:tcPr>
          <w:p>
            <w:pPr>
              <w:jc w:val="center"/>
            </w:pPr>
            <w:r>
              <w:rPr>
                <w:color w:val="1F2937"/>
                <w:sz w:val="18"/>
              </w:rPr>
              <w:t>1 tube</w:t>
            </w:r>
          </w:p>
        </w:tc>
        <w:tc>
          <w:tcPr>
            <w:tcW w:type="dxa" w:w="2340"/>
            <w:tcBorders>
              <w:top w:val="single" w:sz="4" w:space="0" w:color="CBD5E1"/>
              <w:bottom w:val="single" w:sz="4" w:space="0" w:color="CBD5E1"/>
              <w:left w:val="none"/>
              <w:right w:val="none"/>
            </w:tcBorders>
          </w:tcPr>
          <w:p>
            <w:pPr>
              <w:jc w:val="center"/>
            </w:pPr>
            <w:r>
              <w:rPr>
                <w:color w:val="1F2937"/>
                <w:sz w:val="18"/>
              </w:rPr>
              <w:t>4 tubes</w:t>
            </w:r>
          </w:p>
        </w:tc>
        <w:tc>
          <w:tcPr>
            <w:tcW w:type="dxa" w:w="2340"/>
            <w:tcBorders>
              <w:top w:val="single" w:sz="4" w:space="0" w:color="CBD5E1"/>
              <w:bottom w:val="single" w:sz="4" w:space="0" w:color="CBD5E1"/>
              <w:left w:val="none"/>
              <w:right w:val="none"/>
            </w:tcBorders>
          </w:tcPr>
          <w:p>
            <w:pPr>
              <w:jc w:val="center"/>
            </w:pPr>
            <w:r>
              <w:rPr>
                <w:color w:val="1F2937"/>
                <w:sz w:val="18"/>
              </w:rPr>
              <w:t>4\times tube multiplication</w:t>
            </w:r>
          </w:p>
        </w:tc>
      </w:tr>
      <w:tr>
        <w:tc>
          <w:tcPr>
            <w:tcW w:type="dxa" w:w="2340"/>
            <w:tcBorders>
              <w:top w:val="single" w:sz="4" w:space="0" w:color="CBD5E1"/>
              <w:bottom w:val="single" w:sz="4" w:space="0" w:color="CBD5E1"/>
              <w:left w:val="none"/>
              <w:right w:val="none"/>
            </w:tcBorders>
          </w:tcPr>
          <w:p>
            <w:r>
              <w:rPr>
                <w:color w:val="1F2937"/>
                <w:sz w:val="18"/>
              </w:rPr>
              <w:t>Membrane Outer Diameter (dt)</w:t>
            </w:r>
          </w:p>
        </w:tc>
        <w:tc>
          <w:tcPr>
            <w:tcW w:type="dxa" w:w="2340"/>
            <w:tcBorders>
              <w:top w:val="single" w:sz="4" w:space="0" w:color="CBD5E1"/>
              <w:bottom w:val="single" w:sz="4" w:space="0" w:color="CBD5E1"/>
              <w:left w:val="none"/>
              <w:right w:val="none"/>
            </w:tcBorders>
          </w:tcPr>
          <w:p>
            <w:pPr>
              <w:jc w:val="center"/>
            </w:pPr>
            <w:r>
              <w:rPr>
                <w:color w:val="1F2937"/>
                <w:sz w:val="18"/>
              </w:rPr>
              <w:t>10.00\text{ mm} (rt = 5.0\text{ mm})</w:t>
            </w:r>
          </w:p>
        </w:tc>
        <w:tc>
          <w:tcPr>
            <w:tcW w:type="dxa" w:w="2340"/>
            <w:tcBorders>
              <w:top w:val="single" w:sz="4" w:space="0" w:color="CBD5E1"/>
              <w:bottom w:val="single" w:sz="4" w:space="0" w:color="CBD5E1"/>
              <w:left w:val="none"/>
              <w:right w:val="none"/>
            </w:tcBorders>
          </w:tcPr>
          <w:p>
            <w:pPr>
              <w:jc w:val="center"/>
            </w:pPr>
            <w:r>
              <w:rPr>
                <w:color w:val="1F2937"/>
                <w:sz w:val="18"/>
              </w:rPr>
              <w:t>5.00\text{ mm} (rt = 2.5\text{ mm})</w:t>
            </w:r>
          </w:p>
        </w:tc>
        <w:tc>
          <w:tcPr>
            <w:tcW w:type="dxa" w:w="2340"/>
            <w:tcBorders>
              <w:top w:val="single" w:sz="4" w:space="0" w:color="CBD5E1"/>
              <w:bottom w:val="single" w:sz="4" w:space="0" w:color="CBD5E1"/>
              <w:left w:val="none"/>
              <w:right w:val="none"/>
            </w:tcBorders>
          </w:tcPr>
          <w:p>
            <w:pPr>
              <w:jc w:val="center"/>
            </w:pPr>
            <w:r>
              <w:rPr>
                <w:color w:val="1F2937"/>
                <w:sz w:val="18"/>
              </w:rPr>
              <w:t>Half-radius (r{t,4} = r{t,1}/2)</w:t>
            </w:r>
          </w:p>
        </w:tc>
      </w:tr>
      <w:tr>
        <w:tc>
          <w:tcPr>
            <w:tcW w:type="dxa" w:w="2340"/>
            <w:tcBorders>
              <w:top w:val="single" w:sz="4" w:space="0" w:color="CBD5E1"/>
              <w:bottom w:val="single" w:sz="4" w:space="0" w:color="CBD5E1"/>
              <w:left w:val="none"/>
              <w:right w:val="none"/>
            </w:tcBorders>
          </w:tcPr>
          <w:p>
            <w:r>
              <w:rPr>
                <w:color w:val="1F2937"/>
                <w:sz w:val="18"/>
              </w:rPr>
              <w:t>Membrane Wall Thickness (tw)</w:t>
            </w:r>
          </w:p>
        </w:tc>
        <w:tc>
          <w:tcPr>
            <w:tcW w:type="dxa" w:w="2340"/>
            <w:tcBorders>
              <w:top w:val="single" w:sz="4" w:space="0" w:color="CBD5E1"/>
              <w:bottom w:val="single" w:sz="4" w:space="0" w:color="CBD5E1"/>
              <w:left w:val="none"/>
              <w:right w:val="none"/>
            </w:tcBorders>
          </w:tcPr>
          <w:p>
            <w:pPr>
              <w:jc w:val="center"/>
            </w:pPr>
            <w:r>
              <w:rPr>
                <w:color w:val="1F2937"/>
                <w:sz w:val="18"/>
              </w:rPr>
              <w:t>1.00\text{ mm} (ceramic support)</w:t>
            </w:r>
          </w:p>
        </w:tc>
        <w:tc>
          <w:tcPr>
            <w:tcW w:type="dxa" w:w="2340"/>
            <w:tcBorders>
              <w:top w:val="single" w:sz="4" w:space="0" w:color="CBD5E1"/>
              <w:bottom w:val="single" w:sz="4" w:space="0" w:color="CBD5E1"/>
              <w:left w:val="none"/>
              <w:right w:val="none"/>
            </w:tcBorders>
          </w:tcPr>
          <w:p>
            <w:pPr>
              <w:jc w:val="center"/>
            </w:pPr>
            <w:r>
              <w:rPr>
                <w:color w:val="1F2937"/>
                <w:sz w:val="18"/>
              </w:rPr>
              <w:t>0.80\text{ mm} (ceramic support)</w:t>
            </w:r>
          </w:p>
        </w:tc>
        <w:tc>
          <w:tcPr>
            <w:tcW w:type="dxa" w:w="2340"/>
            <w:tcBorders>
              <w:top w:val="single" w:sz="4" w:space="0" w:color="CBD5E1"/>
              <w:bottom w:val="single" w:sz="4" w:space="0" w:color="CBD5E1"/>
              <w:left w:val="none"/>
              <w:right w:val="none"/>
            </w:tcBorders>
          </w:tcPr>
          <w:p>
            <w:pPr>
              <w:jc w:val="center"/>
            </w:pPr>
            <w:r>
              <w:rPr>
                <w:color w:val="1F2937"/>
                <w:sz w:val="18"/>
              </w:rPr>
              <w:t>Commercial support thickness</w:t>
            </w:r>
          </w:p>
        </w:tc>
      </w:tr>
      <w:tr>
        <w:tc>
          <w:tcPr>
            <w:tcW w:type="dxa" w:w="2340"/>
            <w:tcBorders>
              <w:top w:val="single" w:sz="4" w:space="0" w:color="CBD5E1"/>
              <w:bottom w:val="single" w:sz="4" w:space="0" w:color="CBD5E1"/>
              <w:left w:val="none"/>
              <w:right w:val="none"/>
            </w:tcBorders>
          </w:tcPr>
          <w:p>
            <w:r>
              <w:rPr>
                <w:color w:val="1F2937"/>
                <w:sz w:val="18"/>
              </w:rPr>
              <w:t>Lumen Inner Diameter (d{\text{in}})</w:t>
            </w:r>
          </w:p>
        </w:tc>
        <w:tc>
          <w:tcPr>
            <w:tcW w:type="dxa" w:w="2340"/>
            <w:tcBorders>
              <w:top w:val="single" w:sz="4" w:space="0" w:color="CBD5E1"/>
              <w:bottom w:val="single" w:sz="4" w:space="0" w:color="CBD5E1"/>
              <w:left w:val="none"/>
              <w:right w:val="none"/>
            </w:tcBorders>
          </w:tcPr>
          <w:p>
            <w:pPr>
              <w:jc w:val="center"/>
            </w:pPr>
            <w:r>
              <w:rPr>
                <w:color w:val="1F2937"/>
                <w:sz w:val="18"/>
              </w:rPr>
              <w:t>8.00\text{ mm}</w:t>
            </w:r>
          </w:p>
        </w:tc>
        <w:tc>
          <w:tcPr>
            <w:tcW w:type="dxa" w:w="2340"/>
            <w:tcBorders>
              <w:top w:val="single" w:sz="4" w:space="0" w:color="CBD5E1"/>
              <w:bottom w:val="single" w:sz="4" w:space="0" w:color="CBD5E1"/>
              <w:left w:val="none"/>
              <w:right w:val="none"/>
            </w:tcBorders>
          </w:tcPr>
          <w:p>
            <w:pPr>
              <w:jc w:val="center"/>
            </w:pPr>
            <w:r>
              <w:rPr>
                <w:color w:val="1F2937"/>
                <w:sz w:val="18"/>
              </w:rPr>
              <w:t>3.40\text{ mm}</w:t>
            </w:r>
          </w:p>
        </w:tc>
        <w:tc>
          <w:tcPr>
            <w:tcW w:type="dxa" w:w="2340"/>
            <w:tcBorders>
              <w:top w:val="single" w:sz="4" w:space="0" w:color="CBD5E1"/>
              <w:bottom w:val="single" w:sz="4" w:space="0" w:color="CBD5E1"/>
              <w:left w:val="none"/>
              <w:right w:val="none"/>
            </w:tcBorders>
          </w:tcPr>
          <w:p>
            <w:pPr>
              <w:jc w:val="center"/>
            </w:pPr>
            <w:r>
              <w:rPr>
                <w:color w:val="1F2937"/>
                <w:sz w:val="18"/>
              </w:rPr>
              <w:t>Sweep channel bore</w:t>
            </w:r>
          </w:p>
        </w:tc>
      </w:tr>
      <w:tr>
        <w:tc>
          <w:tcPr>
            <w:tcW w:type="dxa" w:w="2340"/>
            <w:tcBorders>
              <w:top w:val="single" w:sz="4" w:space="0" w:color="CBD5E1"/>
              <w:bottom w:val="single" w:sz="4" w:space="0" w:color="CBD5E1"/>
              <w:left w:val="none"/>
              <w:right w:val="none"/>
            </w:tcBorders>
          </w:tcPr>
          <w:p>
            <w:r>
              <w:rPr>
                <w:color w:val="1F2937"/>
                <w:sz w:val="18"/>
              </w:rPr>
              <w:t>Tube Pitch Center Radius (R{\text{pitch}})</w:t>
            </w:r>
          </w:p>
        </w:tc>
        <w:tc>
          <w:tcPr>
            <w:tcW w:type="dxa" w:w="2340"/>
            <w:tcBorders>
              <w:top w:val="single" w:sz="4" w:space="0" w:color="CBD5E1"/>
              <w:bottom w:val="single" w:sz="4" w:space="0" w:color="CBD5E1"/>
              <w:left w:val="none"/>
              <w:right w:val="none"/>
            </w:tcBorders>
          </w:tcPr>
          <w:p>
            <w:pPr>
              <w:jc w:val="center"/>
            </w:pPr>
            <w:r>
              <w:rPr>
                <w:color w:val="1F2937"/>
                <w:sz w:val="18"/>
              </w:rPr>
              <w:t>0.00\text{ mm} (centerline)</w:t>
            </w:r>
          </w:p>
        </w:tc>
        <w:tc>
          <w:tcPr>
            <w:tcW w:type="dxa" w:w="2340"/>
            <w:tcBorders>
              <w:top w:val="single" w:sz="4" w:space="0" w:color="CBD5E1"/>
              <w:bottom w:val="single" w:sz="4" w:space="0" w:color="CBD5E1"/>
              <w:left w:val="none"/>
              <w:right w:val="none"/>
            </w:tcBorders>
          </w:tcPr>
          <w:p>
            <w:pPr>
              <w:jc w:val="center"/>
            </w:pPr>
            <w:r>
              <w:rPr>
                <w:color w:val="1F2937"/>
                <w:sz w:val="18"/>
              </w:rPr>
              <w:t>5.00\text{ mm} (R{\text{shell}} / 2)</w:t>
            </w:r>
          </w:p>
        </w:tc>
        <w:tc>
          <w:tcPr>
            <w:tcW w:type="dxa" w:w="2340"/>
            <w:tcBorders>
              <w:top w:val="single" w:sz="4" w:space="0" w:color="CBD5E1"/>
              <w:bottom w:val="single" w:sz="4" w:space="0" w:color="CBD5E1"/>
              <w:left w:val="none"/>
              <w:right w:val="none"/>
            </w:tcBorders>
          </w:tcPr>
          <w:p>
            <w:pPr>
              <w:jc w:val="center"/>
            </w:pPr>
            <w:r>
              <w:rPr>
                <w:color w:val="1F2937"/>
                <w:sz w:val="18"/>
              </w:rPr>
              <w:t>Equidistant placement on circle</w:t>
            </w:r>
          </w:p>
        </w:tc>
      </w:tr>
      <w:tr>
        <w:tc>
          <w:tcPr>
            <w:tcW w:type="dxa" w:w="2340"/>
            <w:tcBorders>
              <w:top w:val="single" w:sz="4" w:space="0" w:color="CBD5E1"/>
              <w:bottom w:val="single" w:sz="4" w:space="0" w:color="CBD5E1"/>
              <w:left w:val="none"/>
              <w:right w:val="none"/>
            </w:tcBorders>
          </w:tcPr>
          <w:p>
            <w:r>
              <w:rPr>
                <w:color w:val="1F2937"/>
                <w:sz w:val="18"/>
              </w:rPr>
              <w:t>Tube Center Coordinates (x, y)</w:t>
            </w:r>
          </w:p>
        </w:tc>
        <w:tc>
          <w:tcPr>
            <w:tcW w:type="dxa" w:w="2340"/>
            <w:tcBorders>
              <w:top w:val="single" w:sz="4" w:space="0" w:color="CBD5E1"/>
              <w:bottom w:val="single" w:sz="4" w:space="0" w:color="CBD5E1"/>
              <w:left w:val="none"/>
              <w:right w:val="none"/>
            </w:tcBorders>
          </w:tcPr>
          <w:p>
            <w:pPr>
              <w:jc w:val="center"/>
            </w:pPr>
            <w:r>
              <w:rPr>
                <w:color w:val="1F2937"/>
                <w:sz w:val="18"/>
              </w:rPr>
              <w:t>(0.00, 0.00)\text{ mm}</w:t>
            </w:r>
          </w:p>
        </w:tc>
        <w:tc>
          <w:tcPr>
            <w:tcW w:type="dxa" w:w="2340"/>
            <w:tcBorders>
              <w:top w:val="single" w:sz="4" w:space="0" w:color="CBD5E1"/>
              <w:bottom w:val="single" w:sz="4" w:space="0" w:color="CBD5E1"/>
              <w:left w:val="none"/>
              <w:right w:val="none"/>
            </w:tcBorders>
          </w:tcPr>
          <w:p>
            <w:pPr>
              <w:jc w:val="center"/>
            </w:pPr>
            <w:r>
              <w:rPr>
                <w:color w:val="1F2937"/>
                <w:sz w:val="18"/>
              </w:rPr>
              <w:t>(\pm 5.00, 0.00) and (0.00, \pm 5.00)\text{ mm}</w:t>
            </w:r>
          </w:p>
        </w:tc>
        <w:tc>
          <w:tcPr>
            <w:tcW w:type="dxa" w:w="2340"/>
            <w:tcBorders>
              <w:top w:val="single" w:sz="4" w:space="0" w:color="CBD5E1"/>
              <w:bottom w:val="single" w:sz="4" w:space="0" w:color="CBD5E1"/>
              <w:left w:val="none"/>
              <w:right w:val="none"/>
            </w:tcBorders>
          </w:tcPr>
          <w:p>
            <w:pPr>
              <w:jc w:val="center"/>
            </w:pPr>
            <w:r>
              <w:rPr>
                <w:color w:val="1F2937"/>
                <w:sz w:val="18"/>
              </w:rPr>
              <w:t>90^\circ four-fold symmetry</w:t>
            </w:r>
          </w:p>
        </w:tc>
      </w:tr>
      <w:tr>
        <w:tc>
          <w:tcPr>
            <w:tcW w:type="dxa" w:w="2340"/>
            <w:tcBorders>
              <w:top w:val="single" w:sz="4" w:space="0" w:color="CBD5E1"/>
              <w:bottom w:val="single" w:sz="4" w:space="0" w:color="CBD5E1"/>
              <w:left w:val="none"/>
              <w:right w:val="none"/>
            </w:tcBorders>
          </w:tcPr>
          <w:p>
            <w:r>
              <w:rPr>
                <w:color w:val="1F2937"/>
                <w:sz w:val="18"/>
              </w:rPr>
              <w:t>Total Membrane Perimeter (Pm)</w:t>
            </w:r>
          </w:p>
        </w:tc>
        <w:tc>
          <w:tcPr>
            <w:tcW w:type="dxa" w:w="2340"/>
            <w:tcBorders>
              <w:top w:val="single" w:sz="4" w:space="0" w:color="CBD5E1"/>
              <w:bottom w:val="single" w:sz="4" w:space="0" w:color="CBD5E1"/>
              <w:left w:val="none"/>
              <w:right w:val="none"/>
            </w:tcBorders>
          </w:tcPr>
          <w:p>
            <w:pPr>
              <w:jc w:val="center"/>
            </w:pPr>
            <w:r>
              <w:rPr>
                <w:color w:val="1F2937"/>
                <w:sz w:val="18"/>
              </w:rPr>
              <w:t>31.42\text{ mm} (0.0314\text{ m})</w:t>
            </w:r>
          </w:p>
        </w:tc>
        <w:tc>
          <w:tcPr>
            <w:tcW w:type="dxa" w:w="2340"/>
            <w:tcBorders>
              <w:top w:val="single" w:sz="4" w:space="0" w:color="CBD5E1"/>
              <w:bottom w:val="single" w:sz="4" w:space="0" w:color="CBD5E1"/>
              <w:left w:val="none"/>
              <w:right w:val="none"/>
            </w:tcBorders>
          </w:tcPr>
          <w:p>
            <w:pPr>
              <w:jc w:val="center"/>
            </w:pPr>
            <w:r>
              <w:rPr>
                <w:color w:val="1F2937"/>
                <w:sz w:val="18"/>
              </w:rPr>
              <w:t>62.83\text{ mm} (0.0628\text{ m})</w:t>
            </w:r>
          </w:p>
        </w:tc>
        <w:tc>
          <w:tcPr>
            <w:tcW w:type="dxa" w:w="2340"/>
            <w:tcBorders>
              <w:top w:val="single" w:sz="4" w:space="0" w:color="CBD5E1"/>
              <w:bottom w:val="single" w:sz="4" w:space="0" w:color="CBD5E1"/>
              <w:left w:val="none"/>
              <w:right w:val="none"/>
            </w:tcBorders>
          </w:tcPr>
          <w:p>
            <w:pPr>
              <w:jc w:val="center"/>
            </w:pPr>
            <w:r>
              <w:rPr>
                <w:color w:val="1F2937"/>
                <w:sz w:val="18"/>
              </w:rPr>
              <w:t>2.0\times increase</w:t>
            </w:r>
          </w:p>
        </w:tc>
      </w:tr>
      <w:tr>
        <w:tc>
          <w:tcPr>
            <w:tcW w:type="dxa" w:w="2340"/>
            <w:tcBorders>
              <w:top w:val="single" w:sz="4" w:space="0" w:color="CBD5E1"/>
              <w:bottom w:val="single" w:sz="4" w:space="0" w:color="CBD5E1"/>
              <w:left w:val="none"/>
              <w:right w:val="none"/>
            </w:tcBorders>
          </w:tcPr>
          <w:p>
            <w:r>
              <w:rPr>
                <w:color w:val="1F2937"/>
                <w:sz w:val="18"/>
              </w:rPr>
              <w:t>Specific Surface Area (av = Pm/Ac)</w:t>
            </w:r>
          </w:p>
        </w:tc>
        <w:tc>
          <w:tcPr>
            <w:tcW w:type="dxa" w:w="2340"/>
            <w:tcBorders>
              <w:top w:val="single" w:sz="4" w:space="0" w:color="CBD5E1"/>
              <w:bottom w:val="single" w:sz="4" w:space="0" w:color="CBD5E1"/>
              <w:left w:val="none"/>
              <w:right w:val="none"/>
            </w:tcBorders>
          </w:tcPr>
          <w:p>
            <w:pPr>
              <w:jc w:val="center"/>
            </w:pPr>
            <w:r>
              <w:rPr>
                <w:color w:val="1F2937"/>
                <w:sz w:val="18"/>
              </w:rPr>
              <w:t>133.33\text{ m}^{-1}</w:t>
            </w:r>
          </w:p>
        </w:tc>
        <w:tc>
          <w:tcPr>
            <w:tcW w:type="dxa" w:w="2340"/>
            <w:tcBorders>
              <w:top w:val="single" w:sz="4" w:space="0" w:color="CBD5E1"/>
              <w:bottom w:val="single" w:sz="4" w:space="0" w:color="CBD5E1"/>
              <w:left w:val="none"/>
              <w:right w:val="none"/>
            </w:tcBorders>
          </w:tcPr>
          <w:p>
            <w:pPr>
              <w:jc w:val="center"/>
            </w:pPr>
            <w:r>
              <w:rPr>
                <w:color w:val="1F2937"/>
                <w:sz w:val="18"/>
              </w:rPr>
              <w:t>266.67\text{ m}^{-1}</w:t>
            </w:r>
          </w:p>
        </w:tc>
        <w:tc>
          <w:tcPr>
            <w:tcW w:type="dxa" w:w="2340"/>
            <w:tcBorders>
              <w:top w:val="single" w:sz="4" w:space="0" w:color="CBD5E1"/>
              <w:bottom w:val="single" w:sz="4" w:space="0" w:color="CBD5E1"/>
              <w:left w:val="none"/>
              <w:right w:val="none"/>
            </w:tcBorders>
          </w:tcPr>
          <w:p>
            <w:pPr>
              <w:jc w:val="center"/>
            </w:pPr>
            <w:r>
              <w:rPr>
                <w:color w:val="1F2937"/>
                <w:sz w:val="18"/>
              </w:rPr>
              <w:t>2.0\times intensification</w:t>
            </w:r>
          </w:p>
        </w:tc>
      </w:tr>
      <w:tr>
        <w:tc>
          <w:tcPr>
            <w:tcW w:type="dxa" w:w="2340"/>
            <w:tcBorders>
              <w:top w:val="single" w:sz="4" w:space="0" w:color="CBD5E1"/>
              <w:bottom w:val="single" w:sz="4" w:space="0" w:color="CBD5E1"/>
              <w:left w:val="none"/>
              <w:right w:val="none"/>
            </w:tcBorders>
          </w:tcPr>
          <w:p>
            <w:r>
              <w:rPr>
                <w:color w:val="1F2937"/>
                <w:sz w:val="18"/>
              </w:rPr>
              <w:t>Total Membrane Surface Area (Am)</w:t>
            </w:r>
          </w:p>
        </w:tc>
        <w:tc>
          <w:tcPr>
            <w:tcW w:type="dxa" w:w="2340"/>
            <w:tcBorders>
              <w:top w:val="single" w:sz="4" w:space="0" w:color="CBD5E1"/>
              <w:bottom w:val="single" w:sz="4" w:space="0" w:color="CBD5E1"/>
              <w:left w:val="none"/>
              <w:right w:val="none"/>
            </w:tcBorders>
          </w:tcPr>
          <w:p>
            <w:pPr>
              <w:jc w:val="center"/>
            </w:pPr>
            <w:r>
              <w:rPr>
                <w:color w:val="1F2937"/>
                <w:sz w:val="18"/>
              </w:rPr>
              <w:t>0.0314\text{ m}^2 (314.16\text{ cm}^2)</w:t>
            </w:r>
          </w:p>
        </w:tc>
        <w:tc>
          <w:tcPr>
            <w:tcW w:type="dxa" w:w="2340"/>
            <w:tcBorders>
              <w:top w:val="single" w:sz="4" w:space="0" w:color="CBD5E1"/>
              <w:bottom w:val="single" w:sz="4" w:space="0" w:color="CBD5E1"/>
              <w:left w:val="none"/>
              <w:right w:val="none"/>
            </w:tcBorders>
          </w:tcPr>
          <w:p>
            <w:pPr>
              <w:jc w:val="center"/>
            </w:pPr>
            <w:r>
              <w:rPr>
                <w:color w:val="1F2937"/>
                <w:sz w:val="18"/>
              </w:rPr>
              <w:t>0.0628\text{ m}^2 (628.32\text{ cm}^2)</w:t>
            </w:r>
          </w:p>
        </w:tc>
        <w:tc>
          <w:tcPr>
            <w:tcW w:type="dxa" w:w="2340"/>
            <w:tcBorders>
              <w:top w:val="single" w:sz="4" w:space="0" w:color="CBD5E1"/>
              <w:bottom w:val="single" w:sz="4" w:space="0" w:color="CBD5E1"/>
              <w:left w:val="none"/>
              <w:right w:val="none"/>
            </w:tcBorders>
          </w:tcPr>
          <w:p>
            <w:pPr>
              <w:jc w:val="center"/>
            </w:pPr>
            <w:r>
              <w:rPr>
                <w:color w:val="1F2937"/>
                <w:sz w:val="18"/>
              </w:rPr>
              <w:t>2.0\times increase</w:t>
            </w:r>
          </w:p>
        </w:tc>
      </w:tr>
      <w:tr>
        <w:tc>
          <w:tcPr>
            <w:tcW w:type="dxa" w:w="2340"/>
            <w:tcBorders>
              <w:top w:val="single" w:sz="4" w:space="0" w:color="CBD5E1"/>
              <w:bottom w:val="single" w:sz="4" w:space="0" w:color="CBD5E1"/>
              <w:left w:val="none"/>
              <w:right w:val="none"/>
            </w:tcBorders>
          </w:tcPr>
          <w:p>
            <w:r>
              <w:rPr>
                <w:color w:val="1F2937"/>
                <w:sz w:val="18"/>
              </w:rPr>
              <w:t>Outer Wall Clearance Gap</w:t>
            </w:r>
          </w:p>
        </w:tc>
        <w:tc>
          <w:tcPr>
            <w:tcW w:type="dxa" w:w="2340"/>
            <w:tcBorders>
              <w:top w:val="single" w:sz="4" w:space="0" w:color="CBD5E1"/>
              <w:bottom w:val="single" w:sz="4" w:space="0" w:color="CBD5E1"/>
              <w:left w:val="none"/>
              <w:right w:val="none"/>
            </w:tcBorders>
          </w:tcPr>
          <w:p>
            <w:pPr>
              <w:jc w:val="center"/>
            </w:pPr>
            <w:r>
              <w:rPr>
                <w:color w:val="1F2937"/>
                <w:sz w:val="18"/>
              </w:rPr>
              <w:t>5.00\text{ mm}</w:t>
            </w:r>
          </w:p>
        </w:tc>
        <w:tc>
          <w:tcPr>
            <w:tcW w:type="dxa" w:w="2340"/>
            <w:tcBorders>
              <w:top w:val="single" w:sz="4" w:space="0" w:color="CBD5E1"/>
              <w:bottom w:val="single" w:sz="4" w:space="0" w:color="CBD5E1"/>
              <w:left w:val="none"/>
              <w:right w:val="none"/>
            </w:tcBorders>
          </w:tcPr>
          <w:p>
            <w:pPr>
              <w:jc w:val="center"/>
            </w:pPr>
            <w:r>
              <w:rPr>
                <w:color w:val="1F2937"/>
                <w:sz w:val="18"/>
              </w:rPr>
              <w:t>2.50\text{ mm}</w:t>
            </w:r>
          </w:p>
        </w:tc>
        <w:tc>
          <w:tcPr>
            <w:tcW w:type="dxa" w:w="2340"/>
            <w:tcBorders>
              <w:top w:val="single" w:sz="4" w:space="0" w:color="CBD5E1"/>
              <w:bottom w:val="single" w:sz="4" w:space="0" w:color="CBD5E1"/>
              <w:left w:val="none"/>
              <w:right w:val="none"/>
            </w:tcBorders>
          </w:tcPr>
          <w:p>
            <w:pPr>
              <w:jc w:val="center"/>
            </w:pPr>
            <w:r>
              <w:rPr>
                <w:color w:val="1F2937"/>
                <w:sz w:val="18"/>
              </w:rPr>
              <w:t>R{\text{shell}} - (R{\text{pitch}} + rt) = 10 - 7.5 = 2.5\text{ mm}</w:t>
            </w:r>
          </w:p>
        </w:tc>
      </w:tr>
      <w:tr>
        <w:tc>
          <w:tcPr>
            <w:tcW w:type="dxa" w:w="2340"/>
            <w:tcBorders>
              <w:top w:val="single" w:sz="4" w:space="0" w:color="CBD5E1"/>
              <w:bottom w:val="single" w:sz="4" w:space="0" w:color="CBD5E1"/>
              <w:left w:val="none"/>
              <w:right w:val="none"/>
            </w:tcBorders>
          </w:tcPr>
          <w:p>
            <w:r>
              <w:rPr>
                <w:color w:val="1F2937"/>
                <w:sz w:val="18"/>
              </w:rPr>
              <w:t>Centerline Clearance Gap</w:t>
            </w:r>
          </w:p>
        </w:tc>
        <w:tc>
          <w:tcPr>
            <w:tcW w:type="dxa" w:w="2340"/>
            <w:tcBorders>
              <w:top w:val="single" w:sz="4" w:space="0" w:color="CBD5E1"/>
              <w:bottom w:val="single" w:sz="4" w:space="0" w:color="CBD5E1"/>
              <w:left w:val="none"/>
              <w:right w:val="none"/>
            </w:tcBorders>
          </w:tcPr>
          <w:p>
            <w:pPr>
              <w:jc w:val="center"/>
            </w:pPr>
            <w:r>
              <w:rPr>
                <w:color w:val="1F2937"/>
                <w:sz w:val="18"/>
              </w:rPr>
              <w:t>—</w:t>
            </w:r>
          </w:p>
        </w:tc>
        <w:tc>
          <w:tcPr>
            <w:tcW w:type="dxa" w:w="2340"/>
            <w:tcBorders>
              <w:top w:val="single" w:sz="4" w:space="0" w:color="CBD5E1"/>
              <w:bottom w:val="single" w:sz="4" w:space="0" w:color="CBD5E1"/>
              <w:left w:val="none"/>
              <w:right w:val="none"/>
            </w:tcBorders>
          </w:tcPr>
          <w:p>
            <w:pPr>
              <w:jc w:val="center"/>
            </w:pPr>
            <w:r>
              <w:rPr>
                <w:color w:val="1F2937"/>
                <w:sz w:val="18"/>
              </w:rPr>
              <w:t>2.50\text{ mm}</w:t>
            </w:r>
          </w:p>
        </w:tc>
        <w:tc>
          <w:tcPr>
            <w:tcW w:type="dxa" w:w="2340"/>
            <w:tcBorders>
              <w:top w:val="single" w:sz="4" w:space="0" w:color="CBD5E1"/>
              <w:bottom w:val="single" w:sz="4" w:space="0" w:color="CBD5E1"/>
              <w:left w:val="none"/>
              <w:right w:val="none"/>
            </w:tcBorders>
          </w:tcPr>
          <w:p>
            <w:pPr>
              <w:jc w:val="center"/>
            </w:pPr>
            <w:r>
              <w:rPr>
                <w:color w:val="1F2937"/>
                <w:sz w:val="18"/>
              </w:rPr>
              <w:t>R{\text{pitch}} - rt = 5.0 - 2.5 = 2.5\text{ mm}</w:t>
            </w:r>
          </w:p>
        </w:tc>
      </w:tr>
      <w:tr>
        <w:tc>
          <w:tcPr>
            <w:tcW w:type="dxa" w:w="2340"/>
            <w:tcBorders>
              <w:top w:val="single" w:sz="4" w:space="0" w:color="CBD5E1"/>
              <w:bottom w:val="single" w:sz="4" w:space="0" w:color="CBD5E1"/>
              <w:left w:val="none"/>
              <w:right w:val="none"/>
            </w:tcBorders>
          </w:tcPr>
          <w:p>
            <w:r>
              <w:rPr>
                <w:color w:val="1F2937"/>
                <w:sz w:val="18"/>
              </w:rPr>
              <w:t>Inter-Tube Diagonal Gap (\delta{\text{gap}})</w:t>
            </w:r>
          </w:p>
        </w:tc>
        <w:tc>
          <w:tcPr>
            <w:tcW w:type="dxa" w:w="2340"/>
            <w:tcBorders>
              <w:top w:val="single" w:sz="4" w:space="0" w:color="CBD5E1"/>
              <w:bottom w:val="single" w:sz="4" w:space="0" w:color="CBD5E1"/>
              <w:left w:val="none"/>
              <w:right w:val="none"/>
            </w:tcBorders>
          </w:tcPr>
          <w:p>
            <w:pPr>
              <w:jc w:val="center"/>
            </w:pPr>
            <w:r>
              <w:rPr>
                <w:color w:val="1F2937"/>
                <w:sz w:val="18"/>
              </w:rPr>
              <w:t>—</w:t>
            </w:r>
          </w:p>
        </w:tc>
        <w:tc>
          <w:tcPr>
            <w:tcW w:type="dxa" w:w="2340"/>
            <w:tcBorders>
              <w:top w:val="single" w:sz="4" w:space="0" w:color="CBD5E1"/>
              <w:bottom w:val="single" w:sz="4" w:space="0" w:color="CBD5E1"/>
              <w:left w:val="none"/>
              <w:right w:val="none"/>
            </w:tcBorders>
          </w:tcPr>
          <w:p>
            <w:pPr>
              <w:jc w:val="center"/>
            </w:pPr>
            <w:r>
              <w:rPr>
                <w:color w:val="1F2937"/>
                <w:sz w:val="18"/>
              </w:rPr>
              <w:t>2.071\text{ mm}</w:t>
            </w:r>
          </w:p>
        </w:tc>
        <w:tc>
          <w:tcPr>
            <w:tcW w:type="dxa" w:w="2340"/>
            <w:tcBorders>
              <w:top w:val="single" w:sz="4" w:space="0" w:color="CBD5E1"/>
              <w:bottom w:val="single" w:sz="4" w:space="0" w:color="CBD5E1"/>
              <w:left w:val="none"/>
              <w:right w:val="none"/>
            </w:tcBorders>
          </w:tcPr>
          <w:p>
            <w:pPr>
              <w:jc w:val="center"/>
            </w:pPr>
            <w:r>
              <w:rPr>
                <w:color w:val="1F2937"/>
                <w:sz w:val="18"/>
              </w:rPr>
              <w:t>s - 2rt = 5\sqrt{2} - 5.0 = 2.071\text{ mm}</w:t>
            </w:r>
          </w:p>
        </w:tc>
      </w:tr>
      <w:tr>
        <w:tc>
          <w:tcPr>
            <w:tcW w:type="dxa" w:w="2340"/>
            <w:tcBorders>
              <w:top w:val="single" w:sz="4" w:space="0" w:color="CBD5E1"/>
              <w:bottom w:val="single" w:sz="4" w:space="0" w:color="CBD5E1"/>
              <w:left w:val="none"/>
              <w:right w:val="none"/>
            </w:tcBorders>
          </w:tcPr>
          <w:p>
            <w:r>
              <w:rPr>
                <w:color w:val="1F2937"/>
                <w:sz w:val="18"/>
              </w:rPr>
              <w:t>Pellet Packing Ratio (\delta{\text{gap}}/dp)</w:t>
            </w:r>
          </w:p>
        </w:tc>
        <w:tc>
          <w:tcPr>
            <w:tcW w:type="dxa" w:w="2340"/>
            <w:tcBorders>
              <w:top w:val="single" w:sz="4" w:space="0" w:color="CBD5E1"/>
              <w:bottom w:val="single" w:sz="4" w:space="0" w:color="CBD5E1"/>
              <w:left w:val="none"/>
              <w:right w:val="none"/>
            </w:tcBorders>
          </w:tcPr>
          <w:p>
            <w:pPr>
              <w:jc w:val="center"/>
            </w:pPr>
            <w:r>
              <w:rPr>
                <w:color w:val="1F2937"/>
                <w:sz w:val="18"/>
              </w:rPr>
              <w:t>16.7</w:t>
            </w:r>
          </w:p>
        </w:tc>
        <w:tc>
          <w:tcPr>
            <w:tcW w:type="dxa" w:w="2340"/>
            <w:tcBorders>
              <w:top w:val="single" w:sz="4" w:space="0" w:color="CBD5E1"/>
              <w:bottom w:val="single" w:sz="4" w:space="0" w:color="CBD5E1"/>
              <w:left w:val="none"/>
              <w:right w:val="none"/>
            </w:tcBorders>
          </w:tcPr>
          <w:p>
            <w:pPr>
              <w:jc w:val="center"/>
            </w:pPr>
            <w:r>
              <w:rPr>
                <w:color w:val="1F2937"/>
                <w:sz w:val="18"/>
              </w:rPr>
              <w:t>6.90</w:t>
            </w:r>
          </w:p>
        </w:tc>
        <w:tc>
          <w:tcPr>
            <w:tcW w:type="dxa" w:w="2340"/>
            <w:tcBorders>
              <w:top w:val="single" w:sz="4" w:space="0" w:color="CBD5E1"/>
              <w:bottom w:val="single" w:sz="4" w:space="0" w:color="CBD5E1"/>
              <w:left w:val="none"/>
              <w:right w:val="none"/>
            </w:tcBorders>
          </w:tcPr>
          <w:p>
            <w:pPr>
              <w:jc w:val="center"/>
            </w:pPr>
            <w:r>
              <w:rPr>
                <w:color w:val="1F2937"/>
                <w:sz w:val="18"/>
              </w:rPr>
              <w:t>\ge 5.0 (Complies with Happel-Brenner)</w:t>
            </w:r>
          </w:p>
        </w:tc>
      </w:tr>
      <w:tr>
        <w:tc>
          <w:tcPr>
            <w:tcW w:type="dxa" w:w="2340"/>
            <w:tcBorders>
              <w:top w:val="single" w:sz="4" w:space="0" w:color="CBD5E1"/>
              <w:bottom w:val="single" w:sz="4" w:space="0" w:color="CBD5E1"/>
              <w:left w:val="none"/>
              <w:right w:val="none"/>
            </w:tcBorders>
          </w:tcPr>
          <w:p>
            <w:r>
              <w:rPr>
                <w:color w:val="1F2937"/>
                <w:sz w:val="18"/>
              </w:rPr>
              <w:t>Maximum Diffusion Distance</w:t>
            </w:r>
          </w:p>
        </w:tc>
        <w:tc>
          <w:tcPr>
            <w:tcW w:type="dxa" w:w="2340"/>
            <w:tcBorders>
              <w:top w:val="single" w:sz="4" w:space="0" w:color="CBD5E1"/>
              <w:bottom w:val="single" w:sz="4" w:space="0" w:color="CBD5E1"/>
              <w:left w:val="none"/>
              <w:right w:val="none"/>
            </w:tcBorders>
          </w:tcPr>
          <w:p>
            <w:pPr>
              <w:jc w:val="center"/>
            </w:pPr>
            <w:r>
              <w:rPr>
                <w:color w:val="1F2937"/>
                <w:sz w:val="18"/>
              </w:rPr>
              <w:t>5.00\text{ mm}</w:t>
            </w:r>
          </w:p>
        </w:tc>
        <w:tc>
          <w:tcPr>
            <w:tcW w:type="dxa" w:w="2340"/>
            <w:tcBorders>
              <w:top w:val="single" w:sz="4" w:space="0" w:color="CBD5E1"/>
              <w:bottom w:val="single" w:sz="4" w:space="0" w:color="CBD5E1"/>
              <w:left w:val="none"/>
              <w:right w:val="none"/>
            </w:tcBorders>
          </w:tcPr>
          <w:p>
            <w:pPr>
              <w:jc w:val="center"/>
            </w:pPr>
            <w:r>
              <w:rPr>
                <w:color w:val="1F2937"/>
                <w:sz w:val="18"/>
              </w:rPr>
              <w:t>2.50\text{ mm}</w:t>
            </w:r>
          </w:p>
        </w:tc>
        <w:tc>
          <w:tcPr>
            <w:tcW w:type="dxa" w:w="2340"/>
            <w:tcBorders>
              <w:top w:val="single" w:sz="4" w:space="0" w:color="CBD5E1"/>
              <w:bottom w:val="single" w:sz="4" w:space="0" w:color="CBD5E1"/>
              <w:left w:val="none"/>
              <w:right w:val="none"/>
            </w:tcBorders>
          </w:tcPr>
          <w:p>
            <w:pPr>
              <w:jc w:val="center"/>
            </w:pPr>
            <w:r>
              <w:rPr>
                <w:color w:val="1F2937"/>
                <w:sz w:val="18"/>
              </w:rPr>
              <w:t>50.0\% reduction in diffusion path</w:t>
            </w:r>
          </w:p>
        </w:tc>
      </w:tr>
      <w:tr>
        <w:tc>
          <w:tcPr>
            <w:tcW w:type="dxa" w:w="2340"/>
            <w:tcBorders>
              <w:top w:val="single" w:sz="4" w:space="0" w:color="CBD5E1"/>
              <w:bottom w:val="single" w:sz="4" w:space="0" w:color="CBD5E1"/>
              <w:left w:val="none"/>
              <w:right w:val="none"/>
            </w:tcBorders>
          </w:tcPr>
          <w:p>
            <w:r>
              <w:rPr>
                <w:color w:val="1F2937"/>
                <w:sz w:val="18"/>
              </w:rPr>
              <w:t>Unsealed Voids / Bypass Liability</w:t>
            </w:r>
          </w:p>
        </w:tc>
        <w:tc>
          <w:tcPr>
            <w:tcW w:type="dxa" w:w="2340"/>
            <w:tcBorders>
              <w:top w:val="single" w:sz="4" w:space="0" w:color="CBD5E1"/>
              <w:bottom w:val="single" w:sz="4" w:space="0" w:color="CBD5E1"/>
              <w:left w:val="none"/>
              <w:right w:val="none"/>
            </w:tcBorders>
          </w:tcPr>
          <w:p>
            <w:pPr>
              <w:jc w:val="center"/>
            </w:pPr>
            <w:r>
              <w:rPr>
                <w:color w:val="1F2937"/>
                <w:sz w:val="18"/>
              </w:rPr>
              <w:t>0.0\%</w:t>
            </w:r>
          </w:p>
        </w:tc>
        <w:tc>
          <w:tcPr>
            <w:tcW w:type="dxa" w:w="2340"/>
            <w:tcBorders>
              <w:top w:val="single" w:sz="4" w:space="0" w:color="CBD5E1"/>
              <w:bottom w:val="single" w:sz="4" w:space="0" w:color="CBD5E1"/>
              <w:left w:val="none"/>
              <w:right w:val="none"/>
            </w:tcBorders>
          </w:tcPr>
          <w:p>
            <w:pPr>
              <w:jc w:val="center"/>
            </w:pPr>
            <w:r>
              <w:rPr>
                <w:color w:val="1F2937"/>
                <w:sz w:val="18"/>
              </w:rPr>
              <w:t>0.0\%</w:t>
            </w:r>
          </w:p>
        </w:tc>
        <w:tc>
          <w:tcPr>
            <w:tcW w:type="dxa" w:w="2340"/>
            <w:tcBorders>
              <w:top w:val="single" w:sz="4" w:space="0" w:color="CBD5E1"/>
              <w:bottom w:val="single" w:sz="4" w:space="0" w:color="CBD5E1"/>
              <w:left w:val="none"/>
              <w:right w:val="none"/>
            </w:tcBorders>
          </w:tcPr>
          <w:p>
            <w:pPr>
              <w:jc w:val="center"/>
            </w:pPr>
            <w:r>
              <w:rPr>
                <w:color w:val="1F2937"/>
                <w:sz w:val="18"/>
              </w:rPr>
              <w:t>Both beds are 100\% packed with catalyst</w:t>
            </w:r>
          </w:p>
        </w:tc>
      </w:tr>
    </w:tbl>
    <w:p/>
    <w:p>
      <w:pPr>
        <w:spacing w:before="280" w:after="120"/>
      </w:pPr>
      <w:r>
        <w:rPr>
          <w:b/>
          <w:color w:val="475569"/>
          <w:sz w:val="28"/>
        </w:rPr>
        <w:t xml:space="preserve"> 11. Operating Conditions, Flow Rates &amp; Sweep Mechanics</w:t>
      </w:r>
    </w:p>
    <w:p>
      <w:pPr>
        <w:spacing w:before="200" w:after="80"/>
      </w:pPr>
      <w:r>
        <w:rPr>
          <w:b/>
          <w:color w:val="475569"/>
          <w:sz w:val="24"/>
        </w:rPr>
        <w:t xml:space="preserve"> 10.1 Standard Baseline Operating Conditions</w:t>
      </w:r>
    </w:p>
    <w:p>
      <w:pPr>
        <w:pStyle w:val="ListBullet"/>
        <w:spacing w:before="20" w:after="40"/>
      </w:pPr>
      <w:r>
        <w:rPr>
          <w:color w:val="1F2937"/>
          <w:sz w:val="20"/>
        </w:rPr>
        <w:t>**Bed Temperature:** T = 250.0^\circ\text{C} (523.15\text{ K})</w:t>
      </w:r>
    </w:p>
    <w:p>
      <w:pPr>
        <w:pStyle w:val="ListBullet"/>
        <w:spacing w:before="20" w:after="40"/>
      </w:pPr>
      <w:r>
        <w:rPr>
          <w:color w:val="1F2937"/>
          <w:sz w:val="20"/>
        </w:rPr>
        <w:t>**Retentate Feed Pressure:** P_{\text{ret}} = 40.0\text{ bar} (4.0\text{ MPa})</w:t>
      </w:r>
    </w:p>
    <w:p>
      <w:pPr>
        <w:pStyle w:val="ListBullet"/>
        <w:spacing w:before="20" w:after="40"/>
      </w:pPr>
      <w:r>
        <w:rPr>
          <w:color w:val="1F2937"/>
          <w:sz w:val="20"/>
        </w:rPr>
        <w:t>**Permeate Sweep Pressure:** P_{\text{perm}} = 1.0\text{ bar} (0.10\text{ MPa})</w:t>
      </w:r>
    </w:p>
    <w:p>
      <w:pPr>
        <w:pStyle w:val="ListBullet"/>
        <w:spacing w:before="20" w:after="40"/>
      </w:pPr>
      <w:r>
        <w:rPr>
          <w:color w:val="1F2937"/>
          <w:sz w:val="20"/>
        </w:rPr>
        <w:t>**Feed Syngas Ratio:** \text{H}_2 / \text{CO}_2 = 3.0 (25.0\%\text{ CO}_2, 75.0\%\text{ H}_2)</w:t>
      </w:r>
    </w:p>
    <w:p>
      <w:pPr>
        <w:pStyle w:val="ListBullet"/>
        <w:spacing w:before="20" w:after="40"/>
      </w:pPr>
      <w:r>
        <w:rPr>
          <w:color w:val="1F2937"/>
          <w:sz w:val="20"/>
        </w:rPr>
        <w:t>**Space Velocity:** \text{GHSV} = 1000\text{ h}^{-1}\text{ STP}</w:t>
      </w:r>
    </w:p>
    <w:p>
      <w:pPr>
        <w:pStyle w:val="ListBullet"/>
        <w:spacing w:before="20" w:after="40"/>
      </w:pPr>
      <w:r>
        <w:rPr>
          <w:color w:val="1F2937"/>
          <w:sz w:val="20"/>
        </w:rPr>
        <w:t>**Sweep Gas:** Dry \text{N}_2 (co-current flow), sweep ratio baseline \theta = 1.00</w:t>
      </w:r>
    </w:p>
    <w:p>
      <w:pPr>
        <w:spacing w:before="200" w:after="80"/>
      </w:pPr>
      <w:r>
        <w:rPr>
          <w:b/>
          <w:color w:val="475569"/>
          <w:sz w:val="24"/>
        </w:rPr>
        <w:t xml:space="preserve"> 10.2 Absolute Flow Rates Across Units</w:t>
      </w:r>
    </w:p>
    <w:p>
      <w:pPr>
        <w:spacing w:before="80" w:after="80"/>
        <w:jc w:val="center"/>
      </w:pPr>
      <w:r>
        <w:rPr>
          <w:i/>
          <w:color w:val="475569"/>
          <w:sz w:val="20"/>
        </w:rPr>
        <w:t>\text{Feed Flow Rate: } F_{\text{feed}} = \frac{V_{\text{bed}} \cdot \text{GHSV}}{3600 \cdot 0.022414} = \mathbf{2.9200\text{ mmol/s}} = \mathbf{10.512\text{ mol/h}} \quad (3.9270\text{ NL/min})</w:t>
      </w:r>
    </w:p>
    <w:p>
      <w:pPr>
        <w:spacing w:before="80" w:after="80"/>
        <w:jc w:val="center"/>
      </w:pPr>
      <w:r>
        <w:rPr>
          <w:i/>
          <w:color w:val="475569"/>
          <w:sz w:val="20"/>
        </w:rPr>
        <w:t>\text{Total Sweep Rate: } F_{\text{sweep}} = 1.00 \times F_{\text{feed}} = \mathbf{2.9200\text{ mmol/s}} \quad (3.9270\text{ NL/min STP}, 7.6208\text{ L/min at } 250^\circ\text{C}, 1\text{ bar})</w:t>
      </w:r>
    </w:p>
    <w:p>
      <w:pPr>
        <w:spacing w:before="200" w:after="80"/>
      </w:pPr>
      <w:r>
        <w:rPr>
          <w:b/>
          <w:color w:val="475569"/>
          <w:sz w:val="24"/>
        </w:rPr>
        <w:t xml:space="preserve"> 10.3 Sweep Fluid Dynamics in Tubular Lumens</w:t>
      </w:r>
    </w:p>
    <w:p>
      <w:pPr>
        <w:pStyle w:val="ListBullet"/>
        <w:spacing w:before="20" w:after="40"/>
      </w:pPr>
      <w:r>
        <w:rPr>
          <w:color w:val="1F2937"/>
          <w:sz w:val="20"/>
        </w:rPr>
        <w:t>**Single-Tube CMR (1 lumen, d_{\text{in}} = 8.0\text{ mm}):**</w:t>
      </w:r>
    </w:p>
    <w:p>
      <w:pPr>
        <w:pStyle w:val="ListBullet"/>
        <w:spacing w:before="20" w:after="40"/>
      </w:pPr>
      <w:r>
        <w:rPr>
          <w:color w:val="1F2937"/>
          <w:sz w:val="20"/>
        </w:rPr>
        <w:t>Flow rate: 2.9200\text{ mmol/s} (100\%)</w:t>
      </w:r>
    </w:p>
    <w:p>
      <w:pPr>
        <w:pStyle w:val="ListBullet"/>
        <w:spacing w:before="20" w:after="40"/>
      </w:pPr>
      <w:r>
        <w:rPr>
          <w:color w:val="1F2937"/>
          <w:sz w:val="20"/>
        </w:rPr>
        <w:t>Velocity: u_{\text{sw}} = 2.527\text{ m/s}, Re = 482 (Laminar)</w:t>
      </w:r>
    </w:p>
    <w:p>
      <w:pPr>
        <w:pStyle w:val="ListBullet"/>
        <w:spacing w:before="20" w:after="40"/>
      </w:pPr>
      <w:r>
        <w:rPr>
          <w:color w:val="1F2937"/>
          <w:sz w:val="20"/>
        </w:rPr>
        <w:t>Pressure drop: \Delta P = 34\text{ Pa} (0.00034\text{ bar})</w:t>
      </w:r>
    </w:p>
    <w:p>
      <w:pPr>
        <w:pStyle w:val="ListBullet"/>
        <w:spacing w:before="20" w:after="40"/>
      </w:pPr>
      <w:r>
        <w:rPr>
          <w:color w:val="1F2937"/>
          <w:sz w:val="20"/>
        </w:rPr>
        <w:t>**Four-Tube Shell-Packed CMR (4 lumens, d_{\text{in}} = 3.4\text{ mm}):**</w:t>
      </w:r>
    </w:p>
    <w:p>
      <w:pPr>
        <w:pStyle w:val="ListBullet"/>
        <w:spacing w:before="20" w:after="40"/>
      </w:pPr>
      <w:r>
        <w:rPr>
          <w:color w:val="1F2937"/>
          <w:sz w:val="20"/>
        </w:rPr>
        <w:t>Flow rate per tube: 0.7300\text{ mmol/s} (25\% each, 0.9817\text{ NL/min})</w:t>
      </w:r>
    </w:p>
    <w:p>
      <w:pPr>
        <w:pStyle w:val="ListBullet"/>
        <w:spacing w:before="20" w:after="40"/>
      </w:pPr>
      <w:r>
        <w:rPr>
          <w:color w:val="1F2937"/>
          <w:sz w:val="20"/>
        </w:rPr>
        <w:t>Velocity: u_{\text{sw}} = 3.497\text{ m/s}, Re = 284 (Deep laminar)</w:t>
      </w:r>
    </w:p>
    <w:p>
      <w:pPr>
        <w:pStyle w:val="ListBullet"/>
        <w:spacing w:before="20" w:after="40"/>
      </w:pPr>
      <w:r>
        <w:rPr>
          <w:color w:val="1F2937"/>
          <w:sz w:val="20"/>
        </w:rPr>
        <w:t>Pressure drop: \Delta P = 262\text{ Pa} (0.00262\text{ bar}, &lt; 0.3\% of 1\text{ bar})</w:t>
      </w:r>
    </w:p>
    <w:p>
      <w:pPr>
        <w:spacing w:before="40" w:after="80"/>
      </w:pPr>
      <w:r>
        <w:rPr>
          <w:color w:val="1F2937"/>
          <w:sz w:val="20"/>
        </w:rPr>
        <w:t>Confirming that the permeate channel operates under essentially uniform isobaric conditions.</w:t>
      </w:r>
    </w:p>
    <w:p>
      <w:pPr>
        <w:spacing w:before="280" w:after="120"/>
      </w:pPr>
      <w:r>
        <w:rPr>
          <w:b/>
          <w:color w:val="475569"/>
          <w:sz w:val="28"/>
        </w:rPr>
        <w:t xml:space="preserve"> 12. Multi-Architecture Simulation Benchmark (Lu Kinetics)</w:t>
      </w:r>
    </w:p>
    <w:p>
      <w:pPr>
        <w:spacing w:before="160" w:after="40"/>
        <w:jc w:val="center"/>
      </w:pPr>
      <w:r>
        <w:drawing>
          <wp:inline xmlns:a="http://schemas.openxmlformats.org/drawingml/2006/main" xmlns:pic="http://schemas.openxmlformats.org/drawingml/2006/picture">
            <wp:extent cx="5486400" cy="2971800"/>
            <wp:docPr id="3" name="Picture 3"/>
            <wp:cNvGraphicFramePr>
              <a:graphicFrameLocks noChangeAspect="1"/>
            </wp:cNvGraphicFramePr>
            <a:graphic>
              <a:graphicData uri="http://schemas.openxmlformats.org/drawingml/2006/picture">
                <pic:pic>
                  <pic:nvPicPr>
                    <pic:cNvPr id="0" name="dme_layout_comparison.png"/>
                    <pic:cNvPicPr/>
                  </pic:nvPicPr>
                  <pic:blipFill>
                    <a:blip r:embed="rId11"/>
                    <a:stretch>
                      <a:fillRect/>
                    </a:stretch>
                  </pic:blipFill>
                  <pic:spPr>
                    <a:xfrm>
                      <a:off x="0" y="0"/>
                      <a:ext cx="5486400" cy="2971800"/>
                    </a:xfrm>
                    <a:prstGeom prst="rect"/>
                  </pic:spPr>
                </pic:pic>
              </a:graphicData>
            </a:graphic>
          </wp:inline>
        </w:drawing>
      </w:r>
    </w:p>
    <w:p>
      <w:pPr>
        <w:spacing w:after="160"/>
        <w:jc w:val="center"/>
      </w:pPr>
      <w:r>
        <w:rPr>
          <w:i/>
          <w:color w:val="6B7280"/>
          <w:sz w:val="18"/>
        </w:rPr>
        <w:t>Figure: Multi-Architecture Performance Comparison</w:t>
      </w:r>
    </w:p>
    <w:p>
      <w:pPr>
        <w:spacing w:before="160" w:after="40"/>
        <w:jc w:val="center"/>
      </w:pPr>
      <w:r>
        <w:drawing>
          <wp:inline xmlns:a="http://schemas.openxmlformats.org/drawingml/2006/main" xmlns:pic="http://schemas.openxmlformats.org/drawingml/2006/picture">
            <wp:extent cx="5486400" cy="2351314"/>
            <wp:docPr id="4" name="Picture 4"/>
            <wp:cNvGraphicFramePr>
              <a:graphicFrameLocks noChangeAspect="1"/>
            </wp:cNvGraphicFramePr>
            <a:graphic>
              <a:graphicData uri="http://schemas.openxmlformats.org/drawingml/2006/picture">
                <pic:pic>
                  <pic:nvPicPr>
                    <pic:cNvPr id="0" name="dme_cfd_axial_profiles.png"/>
                    <pic:cNvPicPr/>
                  </pic:nvPicPr>
                  <pic:blipFill>
                    <a:blip r:embed="rId12"/>
                    <a:stretch>
                      <a:fillRect/>
                    </a:stretch>
                  </pic:blipFill>
                  <pic:spPr>
                    <a:xfrm>
                      <a:off x="0" y="0"/>
                      <a:ext cx="5486400" cy="2351314"/>
                    </a:xfrm>
                    <a:prstGeom prst="rect"/>
                  </pic:spPr>
                </pic:pic>
              </a:graphicData>
            </a:graphic>
          </wp:inline>
        </w:drawing>
      </w:r>
    </w:p>
    <w:p>
      <w:pPr>
        <w:spacing w:after="160"/>
        <w:jc w:val="center"/>
      </w:pPr>
      <w:r>
        <w:rPr>
          <w:i/>
          <w:color w:val="6B7280"/>
          <w:sz w:val="18"/>
        </w:rPr>
        <w:t>Figure: Axial Species Partial Pressure Profiles</w:t>
      </w:r>
    </w:p>
    <w:p>
      <w:pPr>
        <w:spacing w:before="40" w:after="80"/>
      </w:pPr>
      <w:r>
        <w:rPr>
          <w:color w:val="1F2937"/>
          <w:sz w:val="20"/>
        </w:rPr>
        <w:t>Integration results obtained from [`dme_membrane_reactor.py`](file:///Users/sameershekhar/Documents/GitHub/p1/dme_membrane_reactor.py) at standard conditions (T = 250^\circ\text{C}, P = 40\text{ bar}, \text{H}_2/\text{CO}_2 = 3.0, \text{GHSV} = 1000\text{ h}^{-1}, \theta = 1.00):</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F1F5F9"/>
            <w:tcBorders>
              <w:top w:val="single" w:sz="4" w:space="0" w:color="CBD5E1"/>
              <w:bottom w:val="single" w:sz="4" w:space="0" w:color="CBD5E1"/>
              <w:left w:val="none"/>
              <w:right w:val="none"/>
            </w:tcBorders>
          </w:tcPr>
          <w:p>
            <w:pPr>
              <w:jc w:val="center"/>
            </w:pPr>
            <w:r>
              <w:rPr>
                <w:b/>
                <w:color w:val="475569"/>
                <w:sz w:val="19"/>
              </w:rPr>
              <w:t>Reactor Configuration</w:t>
            </w:r>
          </w:p>
        </w:tc>
        <w:tc>
          <w:tcPr>
            <w:tcW w:type="dxa" w:w="1337"/>
            <w:shd w:fill="F1F5F9"/>
            <w:tcBorders>
              <w:top w:val="single" w:sz="4" w:space="0" w:color="CBD5E1"/>
              <w:bottom w:val="single" w:sz="4" w:space="0" w:color="CBD5E1"/>
              <w:left w:val="none"/>
              <w:right w:val="none"/>
            </w:tcBorders>
          </w:tcPr>
          <w:p>
            <w:pPr>
              <w:jc w:val="center"/>
            </w:pPr>
            <w:r>
              <w:rPr>
                <w:b/>
                <w:color w:val="475569"/>
                <w:sz w:val="19"/>
              </w:rPr>
              <w:t>Specific Area av</w:t>
            </w:r>
          </w:p>
        </w:tc>
        <w:tc>
          <w:tcPr>
            <w:tcW w:type="dxa" w:w="1337"/>
            <w:shd w:fill="F1F5F9"/>
            <w:tcBorders>
              <w:top w:val="single" w:sz="4" w:space="0" w:color="CBD5E1"/>
              <w:bottom w:val="single" w:sz="4" w:space="0" w:color="CBD5E1"/>
              <w:left w:val="none"/>
              <w:right w:val="none"/>
            </w:tcBorders>
          </w:tcPr>
          <w:p>
            <w:pPr>
              <w:jc w:val="center"/>
            </w:pPr>
            <w:r>
              <w:rPr>
                <w:b/>
                <w:color w:val="475569"/>
                <w:sz w:val="19"/>
              </w:rPr>
              <w:t>\text{CO}2 Conversion (X{\text{CO}2})</w:t>
            </w:r>
          </w:p>
        </w:tc>
        <w:tc>
          <w:tcPr>
            <w:tcW w:type="dxa" w:w="1337"/>
            <w:shd w:fill="F1F5F9"/>
            <w:tcBorders>
              <w:top w:val="single" w:sz="4" w:space="0" w:color="CBD5E1"/>
              <w:bottom w:val="single" w:sz="4" w:space="0" w:color="CBD5E1"/>
              <w:left w:val="none"/>
              <w:right w:val="none"/>
            </w:tcBorders>
          </w:tcPr>
          <w:p>
            <w:pPr>
              <w:jc w:val="center"/>
            </w:pPr>
            <w:r>
              <w:rPr>
                <w:b/>
                <w:color w:val="475569"/>
                <w:sz w:val="19"/>
              </w:rPr>
              <w:t>DME Yield (Y{\text{DME}})</w:t>
            </w:r>
          </w:p>
        </w:tc>
        <w:tc>
          <w:tcPr>
            <w:tcW w:type="dxa" w:w="1337"/>
            <w:shd w:fill="F1F5F9"/>
            <w:tcBorders>
              <w:top w:val="single" w:sz="4" w:space="0" w:color="CBD5E1"/>
              <w:bottom w:val="single" w:sz="4" w:space="0" w:color="CBD5E1"/>
              <w:left w:val="none"/>
              <w:right w:val="none"/>
            </w:tcBorders>
          </w:tcPr>
          <w:p>
            <w:pPr>
              <w:jc w:val="center"/>
            </w:pPr>
            <w:r>
              <w:rPr>
                <w:b/>
                <w:color w:val="475569"/>
                <w:sz w:val="19"/>
              </w:rPr>
              <w:t>DME Selectivity (S{\text{DME}})</w:t>
            </w:r>
          </w:p>
        </w:tc>
        <w:tc>
          <w:tcPr>
            <w:tcW w:type="dxa" w:w="1337"/>
            <w:shd w:fill="F1F5F9"/>
            <w:tcBorders>
              <w:top w:val="single" w:sz="4" w:space="0" w:color="CBD5E1"/>
              <w:bottom w:val="single" w:sz="4" w:space="0" w:color="CBD5E1"/>
              <w:left w:val="none"/>
              <w:right w:val="none"/>
            </w:tcBorders>
          </w:tcPr>
          <w:p>
            <w:pPr>
              <w:jc w:val="center"/>
            </w:pPr>
            <w:r>
              <w:rPr>
                <w:b/>
                <w:color w:val="475569"/>
                <w:sz w:val="19"/>
              </w:rPr>
              <w:t>In-Situ Water Removed</w:t>
            </w:r>
          </w:p>
        </w:tc>
        <w:tc>
          <w:tcPr>
            <w:tcW w:type="dxa" w:w="1337"/>
            <w:shd w:fill="F1F5F9"/>
            <w:tcBorders>
              <w:top w:val="single" w:sz="4" w:space="0" w:color="CBD5E1"/>
              <w:bottom w:val="single" w:sz="4" w:space="0" w:color="CBD5E1"/>
              <w:left w:val="none"/>
              <w:right w:val="none"/>
            </w:tcBorders>
          </w:tcPr>
          <w:p>
            <w:pPr>
              <w:jc w:val="center"/>
            </w:pPr>
            <w:r>
              <w:rPr>
                <w:b/>
                <w:color w:val="475569"/>
                <w:sz w:val="19"/>
              </w:rPr>
              <w:t>Carbon Balance Closure Error</w:t>
            </w:r>
          </w:p>
        </w:tc>
      </w:tr>
      <w:tr>
        <w:tc>
          <w:tcPr>
            <w:tcW w:type="dxa" w:w="1337"/>
            <w:tcBorders>
              <w:top w:val="single" w:sz="4" w:space="0" w:color="CBD5E1"/>
              <w:bottom w:val="single" w:sz="4" w:space="0" w:color="CBD5E1"/>
              <w:left w:val="none"/>
              <w:right w:val="none"/>
            </w:tcBorders>
          </w:tcPr>
          <w:p>
            <w:r>
              <w:rPr>
                <w:color w:val="1F2937"/>
                <w:sz w:val="18"/>
              </w:rPr>
              <w:t>1. Traditional Packed Bed (TR)</w:t>
            </w:r>
          </w:p>
        </w:tc>
        <w:tc>
          <w:tcPr>
            <w:tcW w:type="dxa" w:w="1337"/>
            <w:tcBorders>
              <w:top w:val="single" w:sz="4" w:space="0" w:color="CBD5E1"/>
              <w:bottom w:val="single" w:sz="4" w:space="0" w:color="CBD5E1"/>
              <w:left w:val="none"/>
              <w:right w:val="none"/>
            </w:tcBorders>
          </w:tcPr>
          <w:p>
            <w:pPr>
              <w:jc w:val="center"/>
            </w:pPr>
            <w:r>
              <w:rPr>
                <w:color w:val="1F2937"/>
                <w:sz w:val="18"/>
              </w:rPr>
              <w:t>0.00\text{ m}^{-1}</w:t>
            </w:r>
          </w:p>
        </w:tc>
        <w:tc>
          <w:tcPr>
            <w:tcW w:type="dxa" w:w="1337"/>
            <w:tcBorders>
              <w:top w:val="single" w:sz="4" w:space="0" w:color="CBD5E1"/>
              <w:bottom w:val="single" w:sz="4" w:space="0" w:color="CBD5E1"/>
              <w:left w:val="none"/>
              <w:right w:val="none"/>
            </w:tcBorders>
          </w:tcPr>
          <w:p>
            <w:pPr>
              <w:jc w:val="center"/>
            </w:pPr>
            <w:r>
              <w:rPr>
                <w:color w:val="1F2937"/>
                <w:sz w:val="18"/>
              </w:rPr>
              <w:t>28.99\%</w:t>
            </w:r>
          </w:p>
        </w:tc>
        <w:tc>
          <w:tcPr>
            <w:tcW w:type="dxa" w:w="1337"/>
            <w:tcBorders>
              <w:top w:val="single" w:sz="4" w:space="0" w:color="CBD5E1"/>
              <w:bottom w:val="single" w:sz="4" w:space="0" w:color="CBD5E1"/>
              <w:left w:val="none"/>
              <w:right w:val="none"/>
            </w:tcBorders>
          </w:tcPr>
          <w:p>
            <w:pPr>
              <w:jc w:val="center"/>
            </w:pPr>
            <w:r>
              <w:rPr>
                <w:color w:val="1F2937"/>
                <w:sz w:val="18"/>
              </w:rPr>
              <w:t>19.65\%</w:t>
            </w:r>
          </w:p>
        </w:tc>
        <w:tc>
          <w:tcPr>
            <w:tcW w:type="dxa" w:w="1337"/>
            <w:tcBorders>
              <w:top w:val="single" w:sz="4" w:space="0" w:color="CBD5E1"/>
              <w:bottom w:val="single" w:sz="4" w:space="0" w:color="CBD5E1"/>
              <w:left w:val="none"/>
              <w:right w:val="none"/>
            </w:tcBorders>
          </w:tcPr>
          <w:p>
            <w:pPr>
              <w:jc w:val="center"/>
            </w:pPr>
            <w:r>
              <w:rPr>
                <w:color w:val="1F2937"/>
                <w:sz w:val="18"/>
              </w:rPr>
              <w:t>67.78\%</w:t>
            </w:r>
          </w:p>
        </w:tc>
        <w:tc>
          <w:tcPr>
            <w:tcW w:type="dxa" w:w="1337"/>
            <w:tcBorders>
              <w:top w:val="single" w:sz="4" w:space="0" w:color="CBD5E1"/>
              <w:bottom w:val="single" w:sz="4" w:space="0" w:color="CBD5E1"/>
              <w:left w:val="none"/>
              <w:right w:val="none"/>
            </w:tcBorders>
          </w:tcPr>
          <w:p>
            <w:pPr>
              <w:jc w:val="center"/>
            </w:pPr>
            <w:r>
              <w:rPr>
                <w:color w:val="1F2937"/>
                <w:sz w:val="18"/>
              </w:rPr>
              <w:t>0.00\%</w:t>
            </w:r>
          </w:p>
        </w:tc>
        <w:tc>
          <w:tcPr>
            <w:tcW w:type="dxa" w:w="1337"/>
            <w:tcBorders>
              <w:top w:val="single" w:sz="4" w:space="0" w:color="CBD5E1"/>
              <w:bottom w:val="single" w:sz="4" w:space="0" w:color="CBD5E1"/>
              <w:left w:val="none"/>
              <w:right w:val="none"/>
            </w:tcBorders>
          </w:tcPr>
          <w:p>
            <w:pPr>
              <w:jc w:val="center"/>
            </w:pPr>
            <w:r>
              <w:rPr>
                <w:color w:val="1F2937"/>
                <w:sz w:val="18"/>
              </w:rPr>
              <w:t>2.97 \times 10^{-16}</w:t>
            </w:r>
          </w:p>
        </w:tc>
      </w:tr>
      <w:tr>
        <w:tc>
          <w:tcPr>
            <w:tcW w:type="dxa" w:w="1337"/>
            <w:tcBorders>
              <w:top w:val="single" w:sz="4" w:space="0" w:color="CBD5E1"/>
              <w:bottom w:val="single" w:sz="4" w:space="0" w:color="CBD5E1"/>
              <w:left w:val="none"/>
              <w:right w:val="none"/>
            </w:tcBorders>
          </w:tcPr>
          <w:p>
            <w:r>
              <w:rPr>
                <w:color w:val="1F2937"/>
                <w:sz w:val="18"/>
              </w:rPr>
              <w:t>2. Gibbs Equilibrium Ceiling</w:t>
            </w:r>
          </w:p>
        </w:tc>
        <w:tc>
          <w:tcPr>
            <w:tcW w:type="dxa" w:w="1337"/>
            <w:tcBorders>
              <w:top w:val="single" w:sz="4" w:space="0" w:color="CBD5E1"/>
              <w:bottom w:val="single" w:sz="4" w:space="0" w:color="CBD5E1"/>
              <w:left w:val="none"/>
              <w:right w:val="none"/>
            </w:tcBorders>
          </w:tcPr>
          <w:p>
            <w:pPr>
              <w:jc w:val="center"/>
            </w:pPr>
            <w:r>
              <w:rPr>
                <w:color w:val="1F2937"/>
                <w:sz w:val="18"/>
              </w:rPr>
              <w:t>—</w:t>
            </w:r>
          </w:p>
        </w:tc>
        <w:tc>
          <w:tcPr>
            <w:tcW w:type="dxa" w:w="1337"/>
            <w:tcBorders>
              <w:top w:val="single" w:sz="4" w:space="0" w:color="CBD5E1"/>
              <w:bottom w:val="single" w:sz="4" w:space="0" w:color="CBD5E1"/>
              <w:left w:val="none"/>
              <w:right w:val="none"/>
            </w:tcBorders>
          </w:tcPr>
          <w:p>
            <w:pPr>
              <w:jc w:val="center"/>
            </w:pPr>
            <w:r>
              <w:rPr>
                <w:color w:val="1F2937"/>
                <w:sz w:val="18"/>
              </w:rPr>
              <w:t>48.71\%</w:t>
            </w:r>
          </w:p>
        </w:tc>
        <w:tc>
          <w:tcPr>
            <w:tcW w:type="dxa" w:w="1337"/>
            <w:tcBorders>
              <w:top w:val="single" w:sz="4" w:space="0" w:color="CBD5E1"/>
              <w:bottom w:val="single" w:sz="4" w:space="0" w:color="CBD5E1"/>
              <w:left w:val="none"/>
              <w:right w:val="none"/>
            </w:tcBorders>
          </w:tcPr>
          <w:p>
            <w:pPr>
              <w:jc w:val="center"/>
            </w:pPr>
            <w:r>
              <w:rPr>
                <w:color w:val="1F2937"/>
                <w:sz w:val="18"/>
              </w:rPr>
              <w:t>46.54\%</w:t>
            </w:r>
          </w:p>
        </w:tc>
        <w:tc>
          <w:tcPr>
            <w:tcW w:type="dxa" w:w="1337"/>
            <w:tcBorders>
              <w:top w:val="single" w:sz="4" w:space="0" w:color="CBD5E1"/>
              <w:bottom w:val="single" w:sz="4" w:space="0" w:color="CBD5E1"/>
              <w:left w:val="none"/>
              <w:right w:val="none"/>
            </w:tcBorders>
          </w:tcPr>
          <w:p>
            <w:pPr>
              <w:jc w:val="center"/>
            </w:pPr>
            <w:r>
              <w:rPr>
                <w:color w:val="1F2937"/>
                <w:sz w:val="18"/>
              </w:rPr>
              <w:t>95.55\%</w:t>
            </w:r>
          </w:p>
        </w:tc>
        <w:tc>
          <w:tcPr>
            <w:tcW w:type="dxa" w:w="1337"/>
            <w:tcBorders>
              <w:top w:val="single" w:sz="4" w:space="0" w:color="CBD5E1"/>
              <w:bottom w:val="single" w:sz="4" w:space="0" w:color="CBD5E1"/>
              <w:left w:val="none"/>
              <w:right w:val="none"/>
            </w:tcBorders>
          </w:tcPr>
          <w:p>
            <w:pPr>
              <w:jc w:val="center"/>
            </w:pPr>
            <w:r>
              <w:rPr>
                <w:color w:val="1F2937"/>
                <w:sz w:val="18"/>
              </w:rPr>
              <w:t>0.00\%</w:t>
            </w:r>
          </w:p>
        </w:tc>
        <w:tc>
          <w:tcPr>
            <w:tcW w:type="dxa" w:w="1337"/>
            <w:tcBorders>
              <w:top w:val="single" w:sz="4" w:space="0" w:color="CBD5E1"/>
              <w:bottom w:val="single" w:sz="4" w:space="0" w:color="CBD5E1"/>
              <w:left w:val="none"/>
              <w:right w:val="none"/>
            </w:tcBorders>
          </w:tcPr>
          <w:p>
            <w:pPr>
              <w:jc w:val="center"/>
            </w:pPr>
            <w:r>
              <w:rPr>
                <w:color w:val="1F2937"/>
                <w:sz w:val="18"/>
              </w:rPr>
              <w:t>—</w:t>
            </w:r>
          </w:p>
        </w:tc>
      </w:tr>
      <w:tr>
        <w:tc>
          <w:tcPr>
            <w:tcW w:type="dxa" w:w="1337"/>
            <w:tcBorders>
              <w:top w:val="single" w:sz="4" w:space="0" w:color="CBD5E1"/>
              <w:bottom w:val="single" w:sz="4" w:space="0" w:color="CBD5E1"/>
              <w:left w:val="none"/>
              <w:right w:val="none"/>
            </w:tcBorders>
          </w:tcPr>
          <w:p>
            <w:r>
              <w:rPr>
                <w:color w:val="1F2937"/>
                <w:sz w:val="18"/>
              </w:rPr>
              <w:t>3. Single-Tube CMR (Benchmark)</w:t>
            </w:r>
          </w:p>
        </w:tc>
        <w:tc>
          <w:tcPr>
            <w:tcW w:type="dxa" w:w="1337"/>
            <w:tcBorders>
              <w:top w:val="single" w:sz="4" w:space="0" w:color="CBD5E1"/>
              <w:bottom w:val="single" w:sz="4" w:space="0" w:color="CBD5E1"/>
              <w:left w:val="none"/>
              <w:right w:val="none"/>
            </w:tcBorders>
          </w:tcPr>
          <w:p>
            <w:pPr>
              <w:jc w:val="center"/>
            </w:pPr>
            <w:r>
              <w:rPr>
                <w:color w:val="1F2937"/>
                <w:sz w:val="18"/>
              </w:rPr>
              <w:t>133.33\text{ m}^{-1}</w:t>
            </w:r>
          </w:p>
        </w:tc>
        <w:tc>
          <w:tcPr>
            <w:tcW w:type="dxa" w:w="1337"/>
            <w:tcBorders>
              <w:top w:val="single" w:sz="4" w:space="0" w:color="CBD5E1"/>
              <w:bottom w:val="single" w:sz="4" w:space="0" w:color="CBD5E1"/>
              <w:left w:val="none"/>
              <w:right w:val="none"/>
            </w:tcBorders>
          </w:tcPr>
          <w:p>
            <w:pPr>
              <w:jc w:val="center"/>
            </w:pPr>
            <w:r>
              <w:rPr>
                <w:color w:val="1F2937"/>
                <w:sz w:val="18"/>
              </w:rPr>
              <w:t>84.37\%</w:t>
            </w:r>
          </w:p>
        </w:tc>
        <w:tc>
          <w:tcPr>
            <w:tcW w:type="dxa" w:w="1337"/>
            <w:tcBorders>
              <w:top w:val="single" w:sz="4" w:space="0" w:color="CBD5E1"/>
              <w:bottom w:val="single" w:sz="4" w:space="0" w:color="CBD5E1"/>
              <w:left w:val="none"/>
              <w:right w:val="none"/>
            </w:tcBorders>
          </w:tcPr>
          <w:p>
            <w:pPr>
              <w:jc w:val="center"/>
            </w:pPr>
            <w:r>
              <w:rPr>
                <w:color w:val="1F2937"/>
                <w:sz w:val="18"/>
              </w:rPr>
              <w:t>77.63\%</w:t>
            </w:r>
          </w:p>
        </w:tc>
        <w:tc>
          <w:tcPr>
            <w:tcW w:type="dxa" w:w="1337"/>
            <w:tcBorders>
              <w:top w:val="single" w:sz="4" w:space="0" w:color="CBD5E1"/>
              <w:bottom w:val="single" w:sz="4" w:space="0" w:color="CBD5E1"/>
              <w:left w:val="none"/>
              <w:right w:val="none"/>
            </w:tcBorders>
          </w:tcPr>
          <w:p>
            <w:pPr>
              <w:jc w:val="center"/>
            </w:pPr>
            <w:r>
              <w:rPr>
                <w:color w:val="1F2937"/>
                <w:sz w:val="18"/>
              </w:rPr>
              <w:t>92.01\%</w:t>
            </w:r>
          </w:p>
        </w:tc>
        <w:tc>
          <w:tcPr>
            <w:tcW w:type="dxa" w:w="1337"/>
            <w:tcBorders>
              <w:top w:val="single" w:sz="4" w:space="0" w:color="CBD5E1"/>
              <w:bottom w:val="single" w:sz="4" w:space="0" w:color="CBD5E1"/>
              <w:left w:val="none"/>
              <w:right w:val="none"/>
            </w:tcBorders>
          </w:tcPr>
          <w:p>
            <w:pPr>
              <w:jc w:val="center"/>
            </w:pPr>
            <w:r>
              <w:rPr>
                <w:color w:val="1F2937"/>
                <w:sz w:val="18"/>
              </w:rPr>
              <w:t>98.13\%</w:t>
            </w:r>
          </w:p>
        </w:tc>
        <w:tc>
          <w:tcPr>
            <w:tcW w:type="dxa" w:w="1337"/>
            <w:tcBorders>
              <w:top w:val="single" w:sz="4" w:space="0" w:color="CBD5E1"/>
              <w:bottom w:val="single" w:sz="4" w:space="0" w:color="CBD5E1"/>
              <w:left w:val="none"/>
              <w:right w:val="none"/>
            </w:tcBorders>
          </w:tcPr>
          <w:p>
            <w:pPr>
              <w:jc w:val="center"/>
            </w:pPr>
            <w:r>
              <w:rPr>
                <w:color w:val="1F2937"/>
                <w:sz w:val="18"/>
              </w:rPr>
              <w:t>2.33 \times 10^{-14}</w:t>
            </w:r>
          </w:p>
        </w:tc>
      </w:tr>
      <w:tr>
        <w:tc>
          <w:tcPr>
            <w:tcW w:type="dxa" w:w="1337"/>
            <w:tcBorders>
              <w:top w:val="single" w:sz="4" w:space="0" w:color="CBD5E1"/>
              <w:bottom w:val="single" w:sz="4" w:space="0" w:color="CBD5E1"/>
              <w:left w:val="none"/>
              <w:right w:val="none"/>
            </w:tcBorders>
          </w:tcPr>
          <w:p>
            <w:r>
              <w:rPr>
                <w:color w:val="1F2937"/>
                <w:sz w:val="18"/>
              </w:rPr>
              <w:t>4. Four-Tube Shell-Packed CMR</w:t>
            </w:r>
          </w:p>
        </w:tc>
        <w:tc>
          <w:tcPr>
            <w:tcW w:type="dxa" w:w="1337"/>
            <w:tcBorders>
              <w:top w:val="single" w:sz="4" w:space="0" w:color="CBD5E1"/>
              <w:bottom w:val="single" w:sz="4" w:space="0" w:color="CBD5E1"/>
              <w:left w:val="none"/>
              <w:right w:val="none"/>
            </w:tcBorders>
          </w:tcPr>
          <w:p>
            <w:pPr>
              <w:jc w:val="center"/>
            </w:pPr>
            <w:r>
              <w:rPr>
                <w:color w:val="1F2937"/>
                <w:sz w:val="18"/>
              </w:rPr>
              <w:t>266.67\text{ m}^{-1}</w:t>
            </w:r>
          </w:p>
        </w:tc>
        <w:tc>
          <w:tcPr>
            <w:tcW w:type="dxa" w:w="1337"/>
            <w:tcBorders>
              <w:top w:val="single" w:sz="4" w:space="0" w:color="CBD5E1"/>
              <w:bottom w:val="single" w:sz="4" w:space="0" w:color="CBD5E1"/>
              <w:left w:val="none"/>
              <w:right w:val="none"/>
            </w:tcBorders>
          </w:tcPr>
          <w:p>
            <w:pPr>
              <w:jc w:val="center"/>
            </w:pPr>
            <w:r>
              <w:rPr>
                <w:color w:val="1F2937"/>
                <w:sz w:val="18"/>
              </w:rPr>
              <w:t>92.19\%</w:t>
            </w:r>
          </w:p>
        </w:tc>
        <w:tc>
          <w:tcPr>
            <w:tcW w:type="dxa" w:w="1337"/>
            <w:tcBorders>
              <w:top w:val="single" w:sz="4" w:space="0" w:color="CBD5E1"/>
              <w:bottom w:val="single" w:sz="4" w:space="0" w:color="CBD5E1"/>
              <w:left w:val="none"/>
              <w:right w:val="none"/>
            </w:tcBorders>
          </w:tcPr>
          <w:p>
            <w:pPr>
              <w:jc w:val="center"/>
            </w:pPr>
            <w:r>
              <w:rPr>
                <w:color w:val="1F2937"/>
                <w:sz w:val="18"/>
              </w:rPr>
              <w:t>86.16\%</w:t>
            </w:r>
          </w:p>
        </w:tc>
        <w:tc>
          <w:tcPr>
            <w:tcW w:type="dxa" w:w="1337"/>
            <w:tcBorders>
              <w:top w:val="single" w:sz="4" w:space="0" w:color="CBD5E1"/>
              <w:bottom w:val="single" w:sz="4" w:space="0" w:color="CBD5E1"/>
              <w:left w:val="none"/>
              <w:right w:val="none"/>
            </w:tcBorders>
          </w:tcPr>
          <w:p>
            <w:pPr>
              <w:jc w:val="center"/>
            </w:pPr>
            <w:r>
              <w:rPr>
                <w:color w:val="1F2937"/>
                <w:sz w:val="18"/>
              </w:rPr>
              <w:t>93.46\%</w:t>
            </w:r>
          </w:p>
        </w:tc>
        <w:tc>
          <w:tcPr>
            <w:tcW w:type="dxa" w:w="1337"/>
            <w:tcBorders>
              <w:top w:val="single" w:sz="4" w:space="0" w:color="CBD5E1"/>
              <w:bottom w:val="single" w:sz="4" w:space="0" w:color="CBD5E1"/>
              <w:left w:val="none"/>
              <w:right w:val="none"/>
            </w:tcBorders>
          </w:tcPr>
          <w:p>
            <w:pPr>
              <w:jc w:val="center"/>
            </w:pPr>
            <w:r>
              <w:rPr>
                <w:color w:val="1F2937"/>
                <w:sz w:val="18"/>
              </w:rPr>
              <w:t>99.53\%</w:t>
            </w:r>
          </w:p>
        </w:tc>
        <w:tc>
          <w:tcPr>
            <w:tcW w:type="dxa" w:w="1337"/>
            <w:tcBorders>
              <w:top w:val="single" w:sz="4" w:space="0" w:color="CBD5E1"/>
              <w:bottom w:val="single" w:sz="4" w:space="0" w:color="CBD5E1"/>
              <w:left w:val="none"/>
              <w:right w:val="none"/>
            </w:tcBorders>
          </w:tcPr>
          <w:p>
            <w:pPr>
              <w:jc w:val="center"/>
            </w:pPr>
            <w:r>
              <w:rPr>
                <w:color w:val="1F2937"/>
                <w:sz w:val="18"/>
              </w:rPr>
              <w:t>4.46 \times 10^{-14}</w:t>
            </w:r>
          </w:p>
        </w:tc>
      </w:tr>
    </w:tbl>
    <w:p/>
    <w:p>
      <w:pPr>
        <w:spacing w:before="280" w:after="120"/>
      </w:pPr>
      <w:r>
        <w:rPr>
          <w:b/>
          <w:color w:val="475569"/>
          <w:sz w:val="28"/>
        </w:rPr>
        <w:t xml:space="preserve"> 13. Process Intensification Factors &amp; Transport Timescales</w:t>
      </w:r>
    </w:p>
    <w:p>
      <w:pPr>
        <w:spacing w:before="120" w:after="120"/>
      </w:pPr>
      <w:r>
        <w:rPr>
          <w:rFonts w:ascii="Courier New" w:hAnsi="Courier New"/>
          <w:color w:val="334155"/>
          <w:sz w:val="17"/>
        </w:rPr>
        <w:t>================================================================================================</w:t>
        <w:br/>
        <w:t xml:space="preserve">                    PROCESS INTENSIFICATION FACTORS MATRIX</w:t>
        <w:br/>
        <w:t>================================================================================================</w:t>
        <w:br/>
        <w:t>Intensification Metric            Benchmark Datum    Intensified State   Multiplication Factor</w:t>
        <w:br/>
        <w:t>------------------------------------------------------------------------------------------------</w:t>
        <w:br/>
        <w:t>1. DME Single-Pass Yield (vs TR)  19.65% (TR Base)   86.16% (4-Tube CMR) 4.38x (+338% Gain)</w:t>
        <w:br/>
        <w:t>2. DME Single-Pass Yield (vs Eq)  46.54% (Gibbs Max) 86.16% (4-Tube CMR) 1.85x (+85% Past Eq)</w:t>
        <w:br/>
        <w:t>3. DME Yield (4-Tube vs Single)   77.63% (Single)    86.16% (4-Tube CMR) 1.11x (+8.53 pp Gain)</w:t>
        <w:br/>
        <w:t>4. Specific Membrane Area (av)    133.33 m^-1        266.67 m^-1         2.00x (+100% Increase)</w:t>
        <w:br/>
        <w:t>5. Characteristic Diffusion Time  tau_diff (Single)  0.25 * tau_diff     4.00x Faster Diffusion</w:t>
        <w:br/>
        <w:t>6. Residual Catalyst Water Content1.87% (Single)     0.47% (4-Tube CMR)  3.98x Cleaner Bed</w:t>
        <w:br/>
        <w:t>7. Space-Time DME Productivity    10.9 mol/(m^3*s)   47.8 mol/(m^3*s)    4.38x Volumetric Gain</w:t>
        <w:br/>
        <w:t>8. Specific Catalyst Productivity 0.0091 mol/(kg*s)  0.0398 mol/(kg*s)   4.38x Mass Yield Gain</w:t>
        <w:br/>
        <w:t>================================================================================================</w:t>
      </w:r>
    </w:p>
    <w:p>
      <w:pPr>
        <w:spacing w:before="200" w:after="80"/>
      </w:pPr>
      <w:r>
        <w:rPr>
          <w:b/>
          <w:color w:val="475569"/>
          <w:sz w:val="24"/>
        </w:rPr>
        <w:t xml:space="preserve"> Derivations:</w:t>
      </w:r>
    </w:p>
    <w:p>
      <w:pPr>
        <w:pStyle w:val="ListBullet"/>
        <w:spacing w:before="20" w:after="40"/>
      </w:pPr>
      <w:r>
        <w:rPr>
          <w:color w:val="1F2937"/>
          <w:sz w:val="20"/>
        </w:rPr>
        <w:t>**Specific Area Doubling:** a_{v,4} / a_{v,1} = 266.67 / 133.33 = \mathbf{2.00\times}.</w:t>
      </w:r>
    </w:p>
    <w:p>
      <w:pPr>
        <w:pStyle w:val="ListBullet"/>
        <w:spacing w:before="20" w:after="40"/>
      </w:pPr>
      <w:r>
        <w:rPr>
          <w:color w:val="1F2937"/>
          <w:sz w:val="20"/>
        </w:rPr>
        <w:t>**Diffusion Timescale Cut:** \tau_{\text{diff}} \propto (\Delta r)^2 \implies (2.50 / 5.00)^2 = \mathbf{0.25} (\mathbf{4.00\times \text{ faster mass transfer}}).</w:t>
      </w:r>
    </w:p>
    <w:p>
      <w:pPr>
        <w:pStyle w:val="ListBullet"/>
        <w:spacing w:before="20" w:after="40"/>
      </w:pPr>
      <w:r>
        <w:rPr>
          <w:color w:val="1F2937"/>
          <w:sz w:val="20"/>
        </w:rPr>
        <w:t>**Residual Water Reduction:** Unextracted water drops from 1.87\% down to 0.47\% (\mathbf{3.98\times \text{ cleaner catalytic bed}}).</w:t>
      </w:r>
    </w:p>
    <w:p>
      <w:pPr>
        <w:spacing w:before="280" w:after="120"/>
      </w:pPr>
      <w:r>
        <w:rPr>
          <w:b/>
          <w:color w:val="475569"/>
          <w:sz w:val="28"/>
        </w:rPr>
        <w:t xml:space="preserve"> 14. Deconstruction of the "8 Percent Water" Literature Myth</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Borders>
              <w:top w:val="single" w:sz="4" w:space="0" w:color="CBD5E1"/>
              <w:bottom w:val="single" w:sz="4" w:space="0" w:color="CBD5E1"/>
              <w:left w:val="none"/>
              <w:right w:val="none"/>
            </w:tcBorders>
          </w:tcPr>
          <w:p>
            <w:pPr>
              <w:jc w:val="center"/>
            </w:pPr>
            <w:r>
              <w:rPr>
                <w:b/>
                <w:color w:val="475569"/>
                <w:sz w:val="19"/>
              </w:rPr>
              <w:t>Metric</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Does It Apply to Traditional Packed Bed?</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Actual Value</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Physical Meaning</w:t>
            </w:r>
          </w:p>
        </w:tc>
      </w:tr>
      <w:tr>
        <w:tc>
          <w:tcPr>
            <w:tcW w:type="dxa" w:w="2340"/>
            <w:tcBorders>
              <w:top w:val="single" w:sz="4" w:space="0" w:color="CBD5E1"/>
              <w:bottom w:val="single" w:sz="4" w:space="0" w:color="CBD5E1"/>
              <w:left w:val="none"/>
              <w:right w:val="none"/>
            </w:tcBorders>
          </w:tcPr>
          <w:p>
            <w:r>
              <w:rPr>
                <w:color w:val="1F2937"/>
                <w:sz w:val="18"/>
              </w:rPr>
              <w:t>In-Situ Water Removal in Traditional Bed</w:t>
            </w:r>
          </w:p>
        </w:tc>
        <w:tc>
          <w:tcPr>
            <w:tcW w:type="dxa" w:w="2340"/>
            <w:tcBorders>
              <w:top w:val="single" w:sz="4" w:space="0" w:color="CBD5E1"/>
              <w:bottom w:val="single" w:sz="4" w:space="0" w:color="CBD5E1"/>
              <w:left w:val="none"/>
              <w:right w:val="none"/>
            </w:tcBorders>
          </w:tcPr>
          <w:p>
            <w:pPr>
              <w:jc w:val="center"/>
            </w:pPr>
            <w:r>
              <w:rPr>
                <w:color w:val="1F2937"/>
                <w:sz w:val="18"/>
              </w:rPr>
              <w:t>NO</w:t>
            </w:r>
          </w:p>
        </w:tc>
        <w:tc>
          <w:tcPr>
            <w:tcW w:type="dxa" w:w="2340"/>
            <w:tcBorders>
              <w:top w:val="single" w:sz="4" w:space="0" w:color="CBD5E1"/>
              <w:bottom w:val="single" w:sz="4" w:space="0" w:color="CBD5E1"/>
              <w:left w:val="none"/>
              <w:right w:val="none"/>
            </w:tcBorders>
          </w:tcPr>
          <w:p>
            <w:pPr>
              <w:jc w:val="center"/>
            </w:pPr>
            <w:r>
              <w:rPr>
                <w:color w:val="1F2937"/>
                <w:sz w:val="18"/>
              </w:rPr>
              <w:t>0.00\%</w:t>
            </w:r>
          </w:p>
        </w:tc>
        <w:tc>
          <w:tcPr>
            <w:tcW w:type="dxa" w:w="2340"/>
            <w:tcBorders>
              <w:top w:val="single" w:sz="4" w:space="0" w:color="CBD5E1"/>
              <w:bottom w:val="single" w:sz="4" w:space="0" w:color="CBD5E1"/>
              <w:left w:val="none"/>
              <w:right w:val="none"/>
            </w:tcBorders>
          </w:tcPr>
          <w:p>
            <w:pPr>
              <w:jc w:val="center"/>
            </w:pPr>
            <w:r>
              <w:rPr>
                <w:color w:val="1F2937"/>
                <w:sz w:val="18"/>
              </w:rPr>
              <w:t>Physically impossible; no membrane exists. 100\% of water exits in product stream.</w:t>
            </w:r>
          </w:p>
        </w:tc>
      </w:tr>
      <w:tr>
        <w:tc>
          <w:tcPr>
            <w:tcW w:type="dxa" w:w="2340"/>
            <w:tcBorders>
              <w:top w:val="single" w:sz="4" w:space="0" w:color="CBD5E1"/>
              <w:bottom w:val="single" w:sz="4" w:space="0" w:color="CBD5E1"/>
              <w:left w:val="none"/>
              <w:right w:val="none"/>
            </w:tcBorders>
          </w:tcPr>
          <w:p>
            <w:r>
              <w:rPr>
                <w:color w:val="1F2937"/>
                <w:sz w:val="18"/>
              </w:rPr>
              <w:t>In-Situ Water Removal in Unoptimized Membrane</w:t>
            </w:r>
          </w:p>
        </w:tc>
        <w:tc>
          <w:tcPr>
            <w:tcW w:type="dxa" w:w="2340"/>
            <w:tcBorders>
              <w:top w:val="single" w:sz="4" w:space="0" w:color="CBD5E1"/>
              <w:bottom w:val="single" w:sz="4" w:space="0" w:color="CBD5E1"/>
              <w:left w:val="none"/>
              <w:right w:val="none"/>
            </w:tcBorders>
          </w:tcPr>
          <w:p>
            <w:pPr>
              <w:jc w:val="center"/>
            </w:pPr>
            <w:r>
              <w:rPr>
                <w:color w:val="1F2937"/>
                <w:sz w:val="18"/>
              </w:rPr>
              <w:t>YES</w:t>
            </w:r>
          </w:p>
        </w:tc>
        <w:tc>
          <w:tcPr>
            <w:tcW w:type="dxa" w:w="2340"/>
            <w:tcBorders>
              <w:top w:val="single" w:sz="4" w:space="0" w:color="CBD5E1"/>
              <w:bottom w:val="single" w:sz="4" w:space="0" w:color="CBD5E1"/>
              <w:left w:val="none"/>
              <w:right w:val="none"/>
            </w:tcBorders>
          </w:tcPr>
          <w:p>
            <w:pPr>
              <w:jc w:val="center"/>
            </w:pPr>
            <w:r>
              <w:rPr>
                <w:color w:val="1F2937"/>
                <w:sz w:val="18"/>
              </w:rPr>
              <w:t>\sim 5\text{--}8\%</w:t>
            </w:r>
          </w:p>
        </w:tc>
        <w:tc>
          <w:tcPr>
            <w:tcW w:type="dxa" w:w="2340"/>
            <w:tcBorders>
              <w:top w:val="single" w:sz="4" w:space="0" w:color="CBD5E1"/>
              <w:bottom w:val="single" w:sz="4" w:space="0" w:color="CBD5E1"/>
              <w:left w:val="none"/>
              <w:right w:val="none"/>
            </w:tcBorders>
          </w:tcPr>
          <w:p>
            <w:pPr>
              <w:jc w:val="center"/>
            </w:pPr>
            <w:r>
              <w:rPr>
                <w:color w:val="1F2937"/>
                <w:sz w:val="18"/>
              </w:rPr>
              <w:t>Permeation-limited regime (\text{GHSV} \ge 5000\text{ h}^{-1} or av \le 26\text{ m}^{-1}). Membrane is starved for area; performs like a TR.</w:t>
            </w:r>
          </w:p>
        </w:tc>
      </w:tr>
      <w:tr>
        <w:tc>
          <w:tcPr>
            <w:tcW w:type="dxa" w:w="2340"/>
            <w:tcBorders>
              <w:top w:val="single" w:sz="4" w:space="0" w:color="CBD5E1"/>
              <w:bottom w:val="single" w:sz="4" w:space="0" w:color="CBD5E1"/>
              <w:left w:val="none"/>
              <w:right w:val="none"/>
            </w:tcBorders>
          </w:tcPr>
          <w:p>
            <w:r>
              <w:rPr>
                <w:color w:val="1F2937"/>
                <w:sz w:val="18"/>
              </w:rPr>
              <w:t>Water Concentration in Traditional Reactor Outlet</w:t>
            </w:r>
          </w:p>
        </w:tc>
        <w:tc>
          <w:tcPr>
            <w:tcW w:type="dxa" w:w="2340"/>
            <w:tcBorders>
              <w:top w:val="single" w:sz="4" w:space="0" w:color="CBD5E1"/>
              <w:bottom w:val="single" w:sz="4" w:space="0" w:color="CBD5E1"/>
              <w:left w:val="none"/>
              <w:right w:val="none"/>
            </w:tcBorders>
          </w:tcPr>
          <w:p>
            <w:pPr>
              <w:jc w:val="center"/>
            </w:pPr>
            <w:r>
              <w:rPr>
                <w:color w:val="1F2937"/>
                <w:sz w:val="18"/>
              </w:rPr>
              <w:t>YES</w:t>
            </w:r>
          </w:p>
        </w:tc>
        <w:tc>
          <w:tcPr>
            <w:tcW w:type="dxa" w:w="2340"/>
            <w:tcBorders>
              <w:top w:val="single" w:sz="4" w:space="0" w:color="CBD5E1"/>
              <w:bottom w:val="single" w:sz="4" w:space="0" w:color="CBD5E1"/>
              <w:left w:val="none"/>
              <w:right w:val="none"/>
            </w:tcBorders>
          </w:tcPr>
          <w:p>
            <w:pPr>
              <w:jc w:val="center"/>
            </w:pPr>
            <w:r>
              <w:rPr>
                <w:color w:val="1F2937"/>
                <w:sz w:val="18"/>
              </w:rPr>
              <w:t>\sim 7.5\text{--}8.0\text{ mol}\%</w:t>
            </w:r>
          </w:p>
        </w:tc>
        <w:tc>
          <w:tcPr>
            <w:tcW w:type="dxa" w:w="2340"/>
            <w:tcBorders>
              <w:top w:val="single" w:sz="4" w:space="0" w:color="CBD5E1"/>
              <w:bottom w:val="single" w:sz="4" w:space="0" w:color="CBD5E1"/>
              <w:left w:val="none"/>
              <w:right w:val="none"/>
            </w:tcBorders>
          </w:tcPr>
          <w:p>
            <w:pPr>
              <w:jc w:val="center"/>
            </w:pPr>
            <w:r>
              <w:rPr>
                <w:color w:val="1F2937"/>
                <w:sz w:val="18"/>
              </w:rPr>
              <w:t>Gas composition of the effluent product stream at 29\% conversion.</w:t>
            </w:r>
          </w:p>
        </w:tc>
      </w:tr>
      <w:tr>
        <w:tc>
          <w:tcPr>
            <w:tcW w:type="dxa" w:w="2340"/>
            <w:tcBorders>
              <w:top w:val="single" w:sz="4" w:space="0" w:color="CBD5E1"/>
              <w:bottom w:val="single" w:sz="4" w:space="0" w:color="CBD5E1"/>
              <w:left w:val="none"/>
              <w:right w:val="none"/>
            </w:tcBorders>
          </w:tcPr>
          <w:p>
            <w:r>
              <w:rPr>
                <w:color w:val="1F2937"/>
                <w:sz w:val="18"/>
              </w:rPr>
              <w:t>Single-Pass DME Yield in TR at High GHSV</w:t>
            </w:r>
          </w:p>
        </w:tc>
        <w:tc>
          <w:tcPr>
            <w:tcW w:type="dxa" w:w="2340"/>
            <w:tcBorders>
              <w:top w:val="single" w:sz="4" w:space="0" w:color="CBD5E1"/>
              <w:bottom w:val="single" w:sz="4" w:space="0" w:color="CBD5E1"/>
              <w:left w:val="none"/>
              <w:right w:val="none"/>
            </w:tcBorders>
          </w:tcPr>
          <w:p>
            <w:pPr>
              <w:jc w:val="center"/>
            </w:pPr>
            <w:r>
              <w:rPr>
                <w:color w:val="1F2937"/>
                <w:sz w:val="18"/>
              </w:rPr>
              <w:t>YES</w:t>
            </w:r>
          </w:p>
        </w:tc>
        <w:tc>
          <w:tcPr>
            <w:tcW w:type="dxa" w:w="2340"/>
            <w:tcBorders>
              <w:top w:val="single" w:sz="4" w:space="0" w:color="CBD5E1"/>
              <w:bottom w:val="single" w:sz="4" w:space="0" w:color="CBD5E1"/>
              <w:left w:val="none"/>
              <w:right w:val="none"/>
            </w:tcBorders>
          </w:tcPr>
          <w:p>
            <w:pPr>
              <w:jc w:val="center"/>
            </w:pPr>
            <w:r>
              <w:rPr>
                <w:color w:val="1F2937"/>
                <w:sz w:val="18"/>
              </w:rPr>
              <w:t>\sim 8\%</w:t>
            </w:r>
          </w:p>
        </w:tc>
        <w:tc>
          <w:tcPr>
            <w:tcW w:type="dxa" w:w="2340"/>
            <w:tcBorders>
              <w:top w:val="single" w:sz="4" w:space="0" w:color="CBD5E1"/>
              <w:bottom w:val="single" w:sz="4" w:space="0" w:color="CBD5E1"/>
              <w:left w:val="none"/>
              <w:right w:val="none"/>
            </w:tcBorders>
          </w:tcPr>
          <w:p>
            <w:pPr>
              <w:jc w:val="center"/>
            </w:pPr>
            <w:r>
              <w:rPr>
                <w:color w:val="1F2937"/>
                <w:sz w:val="18"/>
              </w:rPr>
              <w:t>Kinetic limitation when residence time is abbreviated.</w:t>
            </w:r>
          </w:p>
        </w:tc>
      </w:tr>
      <w:tr>
        <w:tc>
          <w:tcPr>
            <w:tcW w:type="dxa" w:w="2340"/>
            <w:tcBorders>
              <w:top w:val="single" w:sz="4" w:space="0" w:color="CBD5E1"/>
              <w:bottom w:val="single" w:sz="4" w:space="0" w:color="CBD5E1"/>
              <w:left w:val="none"/>
              <w:right w:val="none"/>
            </w:tcBorders>
          </w:tcPr>
          <w:p>
            <w:r>
              <w:rPr>
                <w:color w:val="1F2937"/>
                <w:sz w:val="18"/>
              </w:rPr>
              <w:t>Single-Pass Conversion Gain (\Delta X = X{\text{MR}} - X{\text{TR}})</w:t>
            </w:r>
          </w:p>
        </w:tc>
        <w:tc>
          <w:tcPr>
            <w:tcW w:type="dxa" w:w="2340"/>
            <w:tcBorders>
              <w:top w:val="single" w:sz="4" w:space="0" w:color="CBD5E1"/>
              <w:bottom w:val="single" w:sz="4" w:space="0" w:color="CBD5E1"/>
              <w:left w:val="none"/>
              <w:right w:val="none"/>
            </w:tcBorders>
          </w:tcPr>
          <w:p>
            <w:pPr>
              <w:jc w:val="center"/>
            </w:pPr>
            <w:r>
              <w:rPr>
                <w:color w:val="1F2937"/>
                <w:sz w:val="18"/>
              </w:rPr>
              <w:t>YES</w:t>
            </w:r>
          </w:p>
        </w:tc>
        <w:tc>
          <w:tcPr>
            <w:tcW w:type="dxa" w:w="2340"/>
            <w:tcBorders>
              <w:top w:val="single" w:sz="4" w:space="0" w:color="CBD5E1"/>
              <w:bottom w:val="single" w:sz="4" w:space="0" w:color="CBD5E1"/>
              <w:left w:val="none"/>
              <w:right w:val="none"/>
            </w:tcBorders>
          </w:tcPr>
          <w:p>
            <w:pPr>
              <w:jc w:val="center"/>
            </w:pPr>
            <w:r>
              <w:rPr>
                <w:color w:val="1F2937"/>
                <w:sz w:val="18"/>
              </w:rPr>
              <w:t>+8\text{ pp}</w:t>
            </w:r>
          </w:p>
        </w:tc>
        <w:tc>
          <w:tcPr>
            <w:tcW w:type="dxa" w:w="2340"/>
            <w:tcBorders>
              <w:top w:val="single" w:sz="4" w:space="0" w:color="CBD5E1"/>
              <w:bottom w:val="single" w:sz="4" w:space="0" w:color="CBD5E1"/>
              <w:left w:val="none"/>
              <w:right w:val="none"/>
            </w:tcBorders>
          </w:tcPr>
          <w:p>
            <w:pPr>
              <w:jc w:val="center"/>
            </w:pPr>
            <w:r>
              <w:rPr>
                <w:color w:val="1F2937"/>
                <w:sz w:val="18"/>
              </w:rPr>
              <w:t>Reported conversion enhancement over packed bed in early zeolite literature.</w:t>
            </w:r>
          </w:p>
        </w:tc>
      </w:tr>
    </w:tbl>
    <w:p/>
    <w:p>
      <w:pPr>
        <w:spacing w:before="280" w:after="120"/>
      </w:pPr>
      <w:r>
        <w:rPr>
          <w:b/>
          <w:color w:val="475569"/>
          <w:sz w:val="28"/>
        </w:rPr>
        <w:t xml:space="preserve"> 15. Machine Learning Surrogate Modeling &amp; Sensitivity Analysis</w:t>
      </w:r>
    </w:p>
    <w:p>
      <w:pPr>
        <w:spacing w:before="160" w:after="40"/>
        <w:jc w:val="center"/>
      </w:pPr>
      <w:r>
        <w:drawing>
          <wp:inline xmlns:a="http://schemas.openxmlformats.org/drawingml/2006/main" xmlns:pic="http://schemas.openxmlformats.org/drawingml/2006/picture">
            <wp:extent cx="5486400" cy="5029200"/>
            <wp:docPr id="5" name="Picture 5"/>
            <wp:cNvGraphicFramePr>
              <a:graphicFrameLocks noChangeAspect="1"/>
            </wp:cNvGraphicFramePr>
            <a:graphic>
              <a:graphicData uri="http://schemas.openxmlformats.org/drawingml/2006/picture">
                <pic:pic>
                  <pic:nvPicPr>
                    <pic:cNvPr id="0" name="dme_surrogate_parity.png"/>
                    <pic:cNvPicPr/>
                  </pic:nvPicPr>
                  <pic:blipFill>
                    <a:blip r:embed="rId13"/>
                    <a:stretch>
                      <a:fillRect/>
                    </a:stretch>
                  </pic:blipFill>
                  <pic:spPr>
                    <a:xfrm>
                      <a:off x="0" y="0"/>
                      <a:ext cx="5486400" cy="5029200"/>
                    </a:xfrm>
                    <a:prstGeom prst="rect"/>
                  </pic:spPr>
                </pic:pic>
              </a:graphicData>
            </a:graphic>
          </wp:inline>
        </w:drawing>
      </w:r>
    </w:p>
    <w:p>
      <w:pPr>
        <w:spacing w:after="160"/>
        <w:jc w:val="center"/>
      </w:pPr>
      <w:r>
        <w:rPr>
          <w:i/>
          <w:color w:val="6B7280"/>
          <w:sz w:val="18"/>
        </w:rPr>
        <w:t>Figure: ExtraTrees Surrogate Parity Benchmark</w:t>
      </w:r>
    </w:p>
    <w:p>
      <w:pPr>
        <w:spacing w:before="160" w:after="40"/>
        <w:jc w:val="center"/>
      </w:pPr>
      <w:r>
        <w:drawing>
          <wp:inline xmlns:a="http://schemas.openxmlformats.org/drawingml/2006/main" xmlns:pic="http://schemas.openxmlformats.org/drawingml/2006/picture">
            <wp:extent cx="5486400" cy="3352800"/>
            <wp:docPr id="6" name="Picture 6"/>
            <wp:cNvGraphicFramePr>
              <a:graphicFrameLocks noChangeAspect="1"/>
            </wp:cNvGraphicFramePr>
            <a:graphic>
              <a:graphicData uri="http://schemas.openxmlformats.org/drawingml/2006/picture">
                <pic:pic>
                  <pic:nvPicPr>
                    <pic:cNvPr id="0" name="dme_feature_importance.png"/>
                    <pic:cNvPicPr/>
                  </pic:nvPicPr>
                  <pic:blipFill>
                    <a:blip r:embed="rId14"/>
                    <a:stretch>
                      <a:fillRect/>
                    </a:stretch>
                  </pic:blipFill>
                  <pic:spPr>
                    <a:xfrm>
                      <a:off x="0" y="0"/>
                      <a:ext cx="5486400" cy="3352800"/>
                    </a:xfrm>
                    <a:prstGeom prst="rect"/>
                  </pic:spPr>
                </pic:pic>
              </a:graphicData>
            </a:graphic>
          </wp:inline>
        </w:drawing>
      </w:r>
    </w:p>
    <w:p>
      <w:pPr>
        <w:spacing w:after="160"/>
        <w:jc w:val="center"/>
      </w:pPr>
      <w:r>
        <w:rPr>
          <w:i/>
          <w:color w:val="6B7280"/>
          <w:sz w:val="18"/>
        </w:rPr>
        <w:t>Figure: Global Feature Importance Ranking</w:t>
      </w:r>
    </w:p>
    <w:p>
      <w:pPr>
        <w:spacing w:before="40" w:after="80"/>
      </w:pPr>
      <w:r>
        <w:rPr>
          <w:color w:val="1F2937"/>
          <w:sz w:val="20"/>
        </w:rPr>
        <w:t>An ensemble ExtraTrees surrogate was retrained on 120 full stiff ODE simulations across T \in [220, 270]^\circ\text{C}, P \in [30, 60]\text{ bar}, \text{GHSV} \in [500, 2500]\text{ h}^{-1}, and membrane types using the updated **W. Lu et al. (2004) / Poto et al. (2021)** rate equations:</w:t>
      </w:r>
    </w:p>
    <w:p>
      <w:pPr>
        <w:spacing w:before="120" w:after="120"/>
      </w:pPr>
      <w:r>
        <w:rPr>
          <w:rFonts w:ascii="Courier New" w:hAnsi="Courier New"/>
          <w:color w:val="334155"/>
          <w:sz w:val="17"/>
        </w:rPr>
        <w:t>================================================================================================</w:t>
        <w:br/>
        <w:t xml:space="preserve">                    RETRAINED EXTRATREES SURROGATE TEST METRICS</w:t>
        <w:br/>
        <w:t>================================================================================================</w:t>
        <w:br/>
        <w:t>Target Output Variable         R^2 Score        Mean Absolute Error (MAE)   RMSE</w:t>
        <w:br/>
        <w:t>------------------------------------------------------------------------------------------------</w:t>
        <w:br/>
        <w:t>CO2 Conversion (X_CO2)         0.867            1.85%                       3.56%</w:t>
        <w:br/>
        <w:t>DME Single-Pass Yield (Y_DME)  0.870            2.14%                       3.97%</w:t>
        <w:br/>
        <w:t>DME Selectivity (S_DME)        0.865            0.52%                       0.80%</w:t>
        <w:br/>
        <w:t>Water Removal (f_H2O,rem)      0.884            0.43%                       0.91%</w:t>
        <w:br/>
        <w:t>================================================================================================</w:t>
      </w:r>
    </w:p>
    <w:p>
      <w:pPr>
        <w:spacing w:before="160" w:after="60"/>
      </w:pPr>
      <w:r>
        <w:rPr>
          <w:b/>
          <w:color w:val="475569"/>
          <w:sz w:val="22"/>
        </w:rPr>
        <w:t xml:space="preserve"> Global Feature Importance Ranking (Gini Impurity):</w:t>
      </w:r>
    </w:p>
    <w:p>
      <w:pPr>
        <w:pStyle w:val="ListNumber"/>
        <w:spacing w:before="20" w:after="40"/>
      </w:pPr>
      <w:r>
        <w:rPr>
          <w:color w:val="1F2937"/>
          <w:sz w:val="20"/>
        </w:rPr>
        <w:t>**Operating Pressure (P, 38.4\%):** Drives reaction driving force and partial pressure gradient \Delta p_{\text{H}_2\text{O}}.</w:t>
      </w:r>
    </w:p>
    <w:p>
      <w:pPr>
        <w:pStyle w:val="ListNumber"/>
        <w:spacing w:before="20" w:after="40"/>
      </w:pPr>
      <w:r>
        <w:rPr>
          <w:color w:val="1F2937"/>
          <w:sz w:val="20"/>
        </w:rPr>
        <w:t>**Inlet Temperature (T, 28.7\%):** Governs exponential Arrhenius reaction rates against exothermic equilibrium.</w:t>
      </w:r>
    </w:p>
    <w:p>
      <w:pPr>
        <w:pStyle w:val="ListNumber"/>
        <w:spacing w:before="20" w:after="40"/>
      </w:pPr>
      <w:r>
        <w:rPr>
          <w:color w:val="1F2937"/>
          <w:sz w:val="20"/>
        </w:rPr>
        <w:t>**Membrane Water Permeance (\Pi_{\text{H}_2\text{O}}, 21.5\%):** Dictates water evacuation rate across the zeolite layer.</w:t>
      </w:r>
    </w:p>
    <w:p>
      <w:pPr>
        <w:pStyle w:val="ListNumber"/>
        <w:spacing w:before="20" w:after="40"/>
      </w:pPr>
      <w:r>
        <w:rPr>
          <w:color w:val="1F2937"/>
          <w:sz w:val="20"/>
        </w:rPr>
        <w:t>**Specific Area / Tube Diameter (a_v / d_t, 11.4\%):** Controls mass-transfer area and diffusion distance.</w:t>
      </w:r>
    </w:p>
    <w:p>
      <w:pPr>
        <w:spacing w:before="280" w:after="120"/>
      </w:pPr>
      <w:r>
        <w:rPr>
          <w:b/>
          <w:color w:val="475569"/>
          <w:sz w:val="28"/>
        </w:rPr>
        <w:t xml:space="preserve"> 16. ANSYS Fluent Continuum CFD Replication Manual</w:t>
      </w:r>
    </w:p>
    <w:p>
      <w:pPr>
        <w:spacing w:before="160" w:after="40"/>
        <w:jc w:val="center"/>
      </w:pPr>
      <w:r>
        <w:drawing>
          <wp:inline xmlns:a="http://schemas.openxmlformats.org/drawingml/2006/main" xmlns:pic="http://schemas.openxmlformats.org/drawingml/2006/picture">
            <wp:extent cx="5486400" cy="5224211"/>
            <wp:docPr id="7" name="Picture 7"/>
            <wp:cNvGraphicFramePr>
              <a:graphicFrameLocks noChangeAspect="1"/>
            </wp:cNvGraphicFramePr>
            <a:graphic>
              <a:graphicData uri="http://schemas.openxmlformats.org/drawingml/2006/picture">
                <pic:pic>
                  <pic:nvPicPr>
                    <pic:cNvPr id="0" name="dme_cfd_3d_flow.png"/>
                    <pic:cNvPicPr/>
                  </pic:nvPicPr>
                  <pic:blipFill>
                    <a:blip r:embed="rId15"/>
                    <a:stretch>
                      <a:fillRect/>
                    </a:stretch>
                  </pic:blipFill>
                  <pic:spPr>
                    <a:xfrm>
                      <a:off x="0" y="0"/>
                      <a:ext cx="5486400" cy="5224211"/>
                    </a:xfrm>
                    <a:prstGeom prst="rect"/>
                  </pic:spPr>
                </pic:pic>
              </a:graphicData>
            </a:graphic>
          </wp:inline>
        </w:drawing>
      </w:r>
    </w:p>
    <w:p>
      <w:pPr>
        <w:spacing w:after="160"/>
        <w:jc w:val="center"/>
      </w:pPr>
      <w:r>
        <w:rPr>
          <w:i/>
          <w:color w:val="6B7280"/>
          <w:sz w:val="18"/>
        </w:rPr>
        <w:t>Figure: 3D CFD Continuum Flow Field</w:t>
      </w:r>
    </w:p>
    <w:p>
      <w:pPr>
        <w:spacing w:before="160" w:after="40"/>
        <w:jc w:val="center"/>
      </w:pPr>
      <w:r>
        <w:drawing>
          <wp:inline xmlns:a="http://schemas.openxmlformats.org/drawingml/2006/main" xmlns:pic="http://schemas.openxmlformats.org/drawingml/2006/picture">
            <wp:extent cx="5486400" cy="2759049"/>
            <wp:docPr id="8" name="Picture 8"/>
            <wp:cNvGraphicFramePr>
              <a:graphicFrameLocks noChangeAspect="1"/>
            </wp:cNvGraphicFramePr>
            <a:graphic>
              <a:graphicData uri="http://schemas.openxmlformats.org/drawingml/2006/picture">
                <pic:pic>
                  <pic:nvPicPr>
                    <pic:cNvPr id="0" name="dme_cfd_cross_sections.png"/>
                    <pic:cNvPicPr/>
                  </pic:nvPicPr>
                  <pic:blipFill>
                    <a:blip r:embed="rId16"/>
                    <a:stretch>
                      <a:fillRect/>
                    </a:stretch>
                  </pic:blipFill>
                  <pic:spPr>
                    <a:xfrm>
                      <a:off x="0" y="0"/>
                      <a:ext cx="5486400" cy="2759049"/>
                    </a:xfrm>
                    <a:prstGeom prst="rect"/>
                  </pic:spPr>
                </pic:pic>
              </a:graphicData>
            </a:graphic>
          </wp:inline>
        </w:drawing>
      </w:r>
    </w:p>
    <w:p>
      <w:pPr>
        <w:spacing w:after="160"/>
        <w:jc w:val="center"/>
      </w:pPr>
      <w:r>
        <w:rPr>
          <w:i/>
          <w:color w:val="6B7280"/>
          <w:sz w:val="18"/>
        </w:rPr>
        <w:t>Figure: CFD Cross-Sectional Concentration Contours</w:t>
      </w:r>
    </w:p>
    <w:p>
      <w:pPr>
        <w:spacing w:before="200" w:after="80"/>
      </w:pPr>
      <w:r>
        <w:rPr>
          <w:b/>
          <w:color w:val="475569"/>
          <w:sz w:val="24"/>
        </w:rPr>
        <w:t xml:space="preserve"> 15.1 Porous Continuum Governing Equations</w:t>
      </w:r>
    </w:p>
    <w:p>
      <w:pPr>
        <w:spacing w:before="80" w:after="80"/>
        <w:jc w:val="center"/>
      </w:pPr>
      <w:r>
        <w:rPr>
          <w:i/>
          <w:color w:val="475569"/>
          <w:sz w:val="20"/>
        </w:rPr>
        <w:t>\nabla \cdot (\rho \vec{u}) = S_{\text{mass}}</w:t>
      </w:r>
    </w:p>
    <w:p>
      <w:pPr>
        <w:spacing w:before="80" w:after="80"/>
        <w:jc w:val="center"/>
      </w:pPr>
      <w:r>
        <w:rPr>
          <w:i/>
          <w:color w:val="475569"/>
          <w:sz w:val="20"/>
        </w:rPr>
        <w:t>\nabla \cdot (\rho \vec{u} \vec{u}) = -\nabla p + \nabla \cdot \bar{\bar{\tau}} - \left( \frac{\mu}{\alpha} \vec{u} + \frac{1}{2} C_2 \rho |\vec{u}| \vec{u} \right)</w:t>
      </w:r>
    </w:p>
    <w:p>
      <w:pPr>
        <w:spacing w:before="80" w:after="80"/>
        <w:jc w:val="center"/>
      </w:pPr>
      <w:r>
        <w:rPr>
          <w:i/>
          <w:color w:val="475569"/>
          <w:sz w:val="20"/>
        </w:rPr>
        <w:t>\nabla \cdot (\rho \vec{u} Y_i) = -\nabla \cdot \vec{J}_i + R_i + S_{m,i}</w:t>
      </w:r>
    </w:p>
    <w:p>
      <w:pPr>
        <w:pStyle w:val="ListBullet"/>
        <w:spacing w:before="20" w:after="40"/>
      </w:pPr>
      <w:r>
        <w:rPr>
          <w:color w:val="1F2937"/>
          <w:sz w:val="20"/>
        </w:rPr>
        <w:t>**Viscous Resistance:** 1/\alpha = 1.39 \times 10^9\text{ m}^{-2}</w:t>
      </w:r>
    </w:p>
    <w:p>
      <w:pPr>
        <w:pStyle w:val="ListBullet"/>
        <w:spacing w:before="20" w:after="40"/>
      </w:pPr>
      <w:r>
        <w:rPr>
          <w:color w:val="1F2937"/>
          <w:sz w:val="20"/>
        </w:rPr>
        <w:t>**Inertial Resistance:** C_2 = 1.62 \times 10^4\text{ m}^{-1}</w:t>
      </w:r>
    </w:p>
    <w:p>
      <w:pPr>
        <w:pStyle w:val="ListBullet"/>
        <w:spacing w:before="20" w:after="40"/>
      </w:pPr>
      <w:r>
        <w:rPr>
          <w:color w:val="1F2937"/>
          <w:sz w:val="20"/>
        </w:rPr>
        <w:t>**Porosity:** \varepsilon_b = 0.40</w:t>
      </w:r>
    </w:p>
    <w:p>
      <w:pPr>
        <w:pStyle w:val="ListBullet"/>
        <w:spacing w:before="20" w:after="40"/>
      </w:pPr>
      <w:r>
        <w:rPr>
          <w:color w:val="1F2937"/>
          <w:sz w:val="20"/>
        </w:rPr>
        <w:t>**Catalyst Bulk Density:** \rho_B = 1200\text{ kg/m}^3</w:t>
      </w:r>
    </w:p>
    <w:p>
      <w:pPr>
        <w:spacing w:before="200" w:after="80"/>
      </w:pPr>
      <w:r>
        <w:rPr>
          <w:b/>
          <w:color w:val="475569"/>
          <w:sz w:val="24"/>
        </w:rPr>
        <w:t xml:space="preserve"> 15.2 Domain Setup &amp; Boundary Conditions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Borders>
              <w:top w:val="single" w:sz="4" w:space="0" w:color="CBD5E1"/>
              <w:bottom w:val="single" w:sz="4" w:space="0" w:color="CBD5E1"/>
              <w:left w:val="none"/>
              <w:right w:val="none"/>
            </w:tcBorders>
          </w:tcPr>
          <w:p>
            <w:pPr>
              <w:jc w:val="center"/>
            </w:pPr>
            <w:r>
              <w:rPr>
                <w:b/>
                <w:color w:val="475569"/>
                <w:sz w:val="19"/>
              </w:rPr>
              <w:t>CFD Parameter</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Single-Tube CMR Setup</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Four-Tube CMR Setup</w:t>
            </w:r>
          </w:p>
        </w:tc>
        <w:tc>
          <w:tcPr>
            <w:tcW w:type="dxa" w:w="2340"/>
            <w:shd w:fill="F1F5F9"/>
            <w:tcBorders>
              <w:top w:val="single" w:sz="4" w:space="0" w:color="CBD5E1"/>
              <w:bottom w:val="single" w:sz="4" w:space="0" w:color="CBD5E1"/>
              <w:left w:val="none"/>
              <w:right w:val="none"/>
            </w:tcBorders>
          </w:tcPr>
          <w:p>
            <w:pPr>
              <w:jc w:val="center"/>
            </w:pPr>
            <w:r>
              <w:rPr>
                <w:b/>
                <w:color w:val="475569"/>
                <w:sz w:val="19"/>
              </w:rPr>
              <w:t>Specification Value</w:t>
            </w:r>
          </w:p>
        </w:tc>
      </w:tr>
      <w:tr>
        <w:tc>
          <w:tcPr>
            <w:tcW w:type="dxa" w:w="2340"/>
            <w:tcBorders>
              <w:top w:val="single" w:sz="4" w:space="0" w:color="CBD5E1"/>
              <w:bottom w:val="single" w:sz="4" w:space="0" w:color="CBD5E1"/>
              <w:left w:val="none"/>
              <w:right w:val="none"/>
            </w:tcBorders>
          </w:tcPr>
          <w:p>
            <w:r>
              <w:rPr>
                <w:color w:val="1F2937"/>
                <w:sz w:val="18"/>
              </w:rPr>
              <w:t>Domain Type</w:t>
            </w:r>
          </w:p>
        </w:tc>
        <w:tc>
          <w:tcPr>
            <w:tcW w:type="dxa" w:w="2340"/>
            <w:tcBorders>
              <w:top w:val="single" w:sz="4" w:space="0" w:color="CBD5E1"/>
              <w:bottom w:val="single" w:sz="4" w:space="0" w:color="CBD5E1"/>
              <w:left w:val="none"/>
              <w:right w:val="none"/>
            </w:tcBorders>
          </w:tcPr>
          <w:p>
            <w:pPr>
              <w:jc w:val="center"/>
            </w:pPr>
            <w:r>
              <w:rPr>
                <w:color w:val="1F2937"/>
                <w:sz w:val="18"/>
              </w:rPr>
              <w:t>2D Axisymmetric</w:t>
            </w:r>
          </w:p>
        </w:tc>
        <w:tc>
          <w:tcPr>
            <w:tcW w:type="dxa" w:w="2340"/>
            <w:tcBorders>
              <w:top w:val="single" w:sz="4" w:space="0" w:color="CBD5E1"/>
              <w:bottom w:val="single" w:sz="4" w:space="0" w:color="CBD5E1"/>
              <w:left w:val="none"/>
              <w:right w:val="none"/>
            </w:tcBorders>
          </w:tcPr>
          <w:p>
            <w:pPr>
              <w:jc w:val="center"/>
            </w:pPr>
            <w:r>
              <w:rPr>
                <w:color w:val="1F2937"/>
                <w:sz w:val="18"/>
              </w:rPr>
              <w:t>3D Quarter-Symmetry (90^\circ)</w:t>
            </w:r>
          </w:p>
        </w:tc>
        <w:tc>
          <w:tcPr>
            <w:tcW w:type="dxa" w:w="2340"/>
            <w:tcBorders>
              <w:top w:val="single" w:sz="4" w:space="0" w:color="CBD5E1"/>
              <w:bottom w:val="single" w:sz="4" w:space="0" w:color="CBD5E1"/>
              <w:left w:val="none"/>
              <w:right w:val="none"/>
            </w:tcBorders>
          </w:tcPr>
          <w:p>
            <w:pPr>
              <w:jc w:val="center"/>
            </w:pPr>
            <w:r>
              <w:rPr>
                <w:color w:val="1F2937"/>
                <w:sz w:val="18"/>
              </w:rPr>
              <w:t>Reduces cell count and CPU cost</w:t>
            </w:r>
          </w:p>
        </w:tc>
      </w:tr>
      <w:tr>
        <w:tc>
          <w:tcPr>
            <w:tcW w:type="dxa" w:w="2340"/>
            <w:tcBorders>
              <w:top w:val="single" w:sz="4" w:space="0" w:color="CBD5E1"/>
              <w:bottom w:val="single" w:sz="4" w:space="0" w:color="CBD5E1"/>
              <w:left w:val="none"/>
              <w:right w:val="none"/>
            </w:tcBorders>
          </w:tcPr>
          <w:p>
            <w:r>
              <w:rPr>
                <w:color w:val="1F2937"/>
                <w:sz w:val="18"/>
              </w:rPr>
              <w:t>Domain Bounds</w:t>
            </w:r>
          </w:p>
        </w:tc>
        <w:tc>
          <w:tcPr>
            <w:tcW w:type="dxa" w:w="2340"/>
            <w:tcBorders>
              <w:top w:val="single" w:sz="4" w:space="0" w:color="CBD5E1"/>
              <w:bottom w:val="single" w:sz="4" w:space="0" w:color="CBD5E1"/>
              <w:left w:val="none"/>
              <w:right w:val="none"/>
            </w:tcBorders>
          </w:tcPr>
          <w:p>
            <w:pPr>
              <w:jc w:val="center"/>
            </w:pPr>
            <w:r>
              <w:rPr>
                <w:color w:val="1F2937"/>
                <w:sz w:val="18"/>
              </w:rPr>
              <w:t>z \in [0, 1.0\text{ m}], r \in [5, 10\text{ mm}]</w:t>
            </w:r>
          </w:p>
        </w:tc>
        <w:tc>
          <w:tcPr>
            <w:tcW w:type="dxa" w:w="2340"/>
            <w:tcBorders>
              <w:top w:val="single" w:sz="4" w:space="0" w:color="CBD5E1"/>
              <w:bottom w:val="single" w:sz="4" w:space="0" w:color="CBD5E1"/>
              <w:left w:val="none"/>
              <w:right w:val="none"/>
            </w:tcBorders>
          </w:tcPr>
          <w:p>
            <w:pPr>
              <w:jc w:val="center"/>
            </w:pPr>
            <w:r>
              <w:rPr>
                <w:color w:val="1F2937"/>
                <w:sz w:val="18"/>
              </w:rPr>
              <w:t>R = 10\text{ mm}, L = 1.0\text{ m}, x \ge 0, y \ge 0</w:t>
            </w:r>
          </w:p>
        </w:tc>
        <w:tc>
          <w:tcPr>
            <w:tcW w:type="dxa" w:w="2340"/>
            <w:tcBorders>
              <w:top w:val="single" w:sz="4" w:space="0" w:color="CBD5E1"/>
              <w:bottom w:val="single" w:sz="4" w:space="0" w:color="CBD5E1"/>
              <w:left w:val="none"/>
              <w:right w:val="none"/>
            </w:tcBorders>
          </w:tcPr>
          <w:p>
            <w:pPr>
              <w:jc w:val="center"/>
            </w:pPr>
            <w:r>
              <w:rPr>
                <w:color w:val="1F2937"/>
                <w:sz w:val="18"/>
              </w:rPr>
              <w:t>Matches invariant geometry</w:t>
            </w:r>
          </w:p>
        </w:tc>
      </w:tr>
      <w:tr>
        <w:tc>
          <w:tcPr>
            <w:tcW w:type="dxa" w:w="2340"/>
            <w:tcBorders>
              <w:top w:val="single" w:sz="4" w:space="0" w:color="CBD5E1"/>
              <w:bottom w:val="single" w:sz="4" w:space="0" w:color="CBD5E1"/>
              <w:left w:val="none"/>
              <w:right w:val="none"/>
            </w:tcBorders>
          </w:tcPr>
          <w:p>
            <w:r>
              <w:rPr>
                <w:color w:val="1F2937"/>
                <w:sz w:val="18"/>
              </w:rPr>
              <w:t>Cell Count</w:t>
            </w:r>
          </w:p>
        </w:tc>
        <w:tc>
          <w:tcPr>
            <w:tcW w:type="dxa" w:w="2340"/>
            <w:tcBorders>
              <w:top w:val="single" w:sz="4" w:space="0" w:color="CBD5E1"/>
              <w:bottom w:val="single" w:sz="4" w:space="0" w:color="CBD5E1"/>
              <w:left w:val="none"/>
              <w:right w:val="none"/>
            </w:tcBorders>
          </w:tcPr>
          <w:p>
            <w:pPr>
              <w:jc w:val="center"/>
            </w:pPr>
            <w:r>
              <w:rPr>
                <w:color w:val="1F2937"/>
                <w:sz w:val="18"/>
              </w:rPr>
              <w:t>\approx 40,000 quad cells</w:t>
            </w:r>
          </w:p>
        </w:tc>
        <w:tc>
          <w:tcPr>
            <w:tcW w:type="dxa" w:w="2340"/>
            <w:tcBorders>
              <w:top w:val="single" w:sz="4" w:space="0" w:color="CBD5E1"/>
              <w:bottom w:val="single" w:sz="4" w:space="0" w:color="CBD5E1"/>
              <w:left w:val="none"/>
              <w:right w:val="none"/>
            </w:tcBorders>
          </w:tcPr>
          <w:p>
            <w:pPr>
              <w:jc w:val="center"/>
            </w:pPr>
            <w:r>
              <w:rPr>
                <w:color w:val="1F2937"/>
                <w:sz w:val="18"/>
              </w:rPr>
              <w:t>\approx 400,000 polyhedral cells</w:t>
            </w:r>
          </w:p>
        </w:tc>
        <w:tc>
          <w:tcPr>
            <w:tcW w:type="dxa" w:w="2340"/>
            <w:tcBorders>
              <w:top w:val="single" w:sz="4" w:space="0" w:color="CBD5E1"/>
              <w:bottom w:val="single" w:sz="4" w:space="0" w:color="CBD5E1"/>
              <w:left w:val="none"/>
              <w:right w:val="none"/>
            </w:tcBorders>
          </w:tcPr>
          <w:p>
            <w:pPr>
              <w:jc w:val="center"/>
            </w:pPr>
            <w:r>
              <w:rPr>
                <w:color w:val="1F2937"/>
                <w:sz w:val="18"/>
              </w:rPr>
              <w:t>y1 \approx 0.05\text{ mm} wall prisms</w:t>
            </w:r>
          </w:p>
        </w:tc>
      </w:tr>
      <w:tr>
        <w:tc>
          <w:tcPr>
            <w:tcW w:type="dxa" w:w="2340"/>
            <w:tcBorders>
              <w:top w:val="single" w:sz="4" w:space="0" w:color="CBD5E1"/>
              <w:bottom w:val="single" w:sz="4" w:space="0" w:color="CBD5E1"/>
              <w:left w:val="none"/>
              <w:right w:val="none"/>
            </w:tcBorders>
          </w:tcPr>
          <w:p>
            <w:r>
              <w:rPr>
                <w:color w:val="1F2937"/>
                <w:sz w:val="18"/>
              </w:rPr>
              <w:t>UDF Volumetric Reaction</w:t>
            </w:r>
          </w:p>
        </w:tc>
        <w:tc>
          <w:tcPr>
            <w:tcW w:type="dxa" w:w="2340"/>
            <w:tcBorders>
              <w:top w:val="single" w:sz="4" w:space="0" w:color="CBD5E1"/>
              <w:bottom w:val="single" w:sz="4" w:space="0" w:color="CBD5E1"/>
              <w:left w:val="none"/>
              <w:right w:val="none"/>
            </w:tcBorders>
          </w:tcPr>
          <w:p>
            <w:pPr>
              <w:jc w:val="center"/>
            </w:pPr>
            <w:r>
              <w:rPr>
                <w:color w:val="1F2937"/>
                <w:sz w:val="18"/>
              </w:rPr>
              <w:t>Hook `userdmekinetics`</w:t>
            </w:r>
          </w:p>
        </w:tc>
        <w:tc>
          <w:tcPr>
            <w:tcW w:type="dxa" w:w="2340"/>
            <w:tcBorders>
              <w:top w:val="single" w:sz="4" w:space="0" w:color="CBD5E1"/>
              <w:bottom w:val="single" w:sz="4" w:space="0" w:color="CBD5E1"/>
              <w:left w:val="none"/>
              <w:right w:val="none"/>
            </w:tcBorders>
          </w:tcPr>
          <w:p>
            <w:pPr>
              <w:jc w:val="center"/>
            </w:pPr>
            <w:r>
              <w:rPr>
                <w:color w:val="1F2937"/>
                <w:sz w:val="18"/>
              </w:rPr>
              <w:t>Hook `userdmekinetics`</w:t>
            </w:r>
          </w:p>
        </w:tc>
        <w:tc>
          <w:tcPr>
            <w:tcW w:type="dxa" w:w="2340"/>
            <w:tcBorders>
              <w:top w:val="single" w:sz="4" w:space="0" w:color="CBD5E1"/>
              <w:bottom w:val="single" w:sz="4" w:space="0" w:color="CBD5E1"/>
              <w:left w:val="none"/>
              <w:right w:val="none"/>
            </w:tcBorders>
          </w:tcPr>
          <w:p>
            <w:pPr>
              <w:jc w:val="center"/>
            </w:pPr>
            <w:r>
              <w:rPr>
                <w:color w:val="1F2937"/>
                <w:sz w:val="18"/>
              </w:rPr>
              <w:t>Native units: \text{kmol}/(\text{m}^3\cdot\text{s})</w:t>
            </w:r>
          </w:p>
        </w:tc>
      </w:tr>
      <w:tr>
        <w:tc>
          <w:tcPr>
            <w:tcW w:type="dxa" w:w="2340"/>
            <w:tcBorders>
              <w:top w:val="single" w:sz="4" w:space="0" w:color="CBD5E1"/>
              <w:bottom w:val="single" w:sz="4" w:space="0" w:color="CBD5E1"/>
              <w:left w:val="none"/>
              <w:right w:val="none"/>
            </w:tcBorders>
          </w:tcPr>
          <w:p>
            <w:r>
              <w:rPr>
                <w:color w:val="1F2937"/>
                <w:sz w:val="18"/>
              </w:rPr>
              <w:t>UDF Membrane Mass Sink</w:t>
            </w:r>
          </w:p>
        </w:tc>
        <w:tc>
          <w:tcPr>
            <w:tcW w:type="dxa" w:w="2340"/>
            <w:tcBorders>
              <w:top w:val="single" w:sz="4" w:space="0" w:color="CBD5E1"/>
              <w:bottom w:val="single" w:sz="4" w:space="0" w:color="CBD5E1"/>
              <w:left w:val="none"/>
              <w:right w:val="none"/>
            </w:tcBorders>
          </w:tcPr>
          <w:p>
            <w:pPr>
              <w:jc w:val="center"/>
            </w:pPr>
            <w:r>
              <w:rPr>
                <w:color w:val="1F2937"/>
                <w:sz w:val="18"/>
              </w:rPr>
              <w:t>Hook `waternaamembranesink` (`av = 133.33`)</w:t>
            </w:r>
          </w:p>
        </w:tc>
        <w:tc>
          <w:tcPr>
            <w:tcW w:type="dxa" w:w="2340"/>
            <w:tcBorders>
              <w:top w:val="single" w:sz="4" w:space="0" w:color="CBD5E1"/>
              <w:bottom w:val="single" w:sz="4" w:space="0" w:color="CBD5E1"/>
              <w:left w:val="none"/>
              <w:right w:val="none"/>
            </w:tcBorders>
          </w:tcPr>
          <w:p>
            <w:pPr>
              <w:jc w:val="center"/>
            </w:pPr>
            <w:r>
              <w:rPr>
                <w:color w:val="1F2937"/>
                <w:sz w:val="18"/>
              </w:rPr>
              <w:t>Hook `waternaamembranesink` (`av = 266.67`)</w:t>
            </w:r>
          </w:p>
        </w:tc>
        <w:tc>
          <w:tcPr>
            <w:tcW w:type="dxa" w:w="2340"/>
            <w:tcBorders>
              <w:top w:val="single" w:sz="4" w:space="0" w:color="CBD5E1"/>
              <w:bottom w:val="single" w:sz="4" w:space="0" w:color="CBD5E1"/>
              <w:left w:val="none"/>
              <w:right w:val="none"/>
            </w:tcBorders>
          </w:tcPr>
          <w:p>
            <w:pPr>
              <w:jc w:val="center"/>
            </w:pPr>
            <w:r>
              <w:rPr>
                <w:color w:val="1F2937"/>
                <w:sz w:val="18"/>
              </w:rPr>
              <w:t>Native units: \text{kg}/(\text{m}^3\cdot\text{s})</w:t>
            </w:r>
          </w:p>
        </w:tc>
      </w:tr>
      <w:tr>
        <w:tc>
          <w:tcPr>
            <w:tcW w:type="dxa" w:w="2340"/>
            <w:tcBorders>
              <w:top w:val="single" w:sz="4" w:space="0" w:color="CBD5E1"/>
              <w:bottom w:val="single" w:sz="4" w:space="0" w:color="CBD5E1"/>
              <w:left w:val="none"/>
              <w:right w:val="none"/>
            </w:tcBorders>
          </w:tcPr>
          <w:p>
            <w:r>
              <w:rPr>
                <w:color w:val="1F2937"/>
                <w:sz w:val="18"/>
              </w:rPr>
              <w:t>Inlet Boundary Condition</w:t>
            </w:r>
          </w:p>
        </w:tc>
        <w:tc>
          <w:tcPr>
            <w:tcW w:type="dxa" w:w="2340"/>
            <w:tcBorders>
              <w:top w:val="single" w:sz="4" w:space="0" w:color="CBD5E1"/>
              <w:bottom w:val="single" w:sz="4" w:space="0" w:color="CBD5E1"/>
              <w:left w:val="none"/>
              <w:right w:val="none"/>
            </w:tcBorders>
          </w:tcPr>
          <w:p>
            <w:pPr>
              <w:jc w:val="center"/>
            </w:pPr>
            <w:r>
              <w:rPr>
                <w:color w:val="1F2937"/>
                <w:sz w:val="18"/>
              </w:rPr>
              <w:t>Mass Flow: 2.9200\text{ mmol/s} (100\%)</w:t>
            </w:r>
          </w:p>
        </w:tc>
        <w:tc>
          <w:tcPr>
            <w:tcW w:type="dxa" w:w="2340"/>
            <w:tcBorders>
              <w:top w:val="single" w:sz="4" w:space="0" w:color="CBD5E1"/>
              <w:bottom w:val="single" w:sz="4" w:space="0" w:color="CBD5E1"/>
              <w:left w:val="none"/>
              <w:right w:val="none"/>
            </w:tcBorders>
          </w:tcPr>
          <w:p>
            <w:pPr>
              <w:jc w:val="center"/>
            </w:pPr>
            <w:r>
              <w:rPr>
                <w:color w:val="1F2937"/>
                <w:sz w:val="18"/>
              </w:rPr>
              <w:t>Mass Flow: 0.7300\text{ mmol/s} (25\% slice)</w:t>
            </w:r>
          </w:p>
        </w:tc>
        <w:tc>
          <w:tcPr>
            <w:tcW w:type="dxa" w:w="2340"/>
            <w:tcBorders>
              <w:top w:val="single" w:sz="4" w:space="0" w:color="CBD5E1"/>
              <w:bottom w:val="single" w:sz="4" w:space="0" w:color="CBD5E1"/>
              <w:left w:val="none"/>
              <w:right w:val="none"/>
            </w:tcBorders>
          </w:tcPr>
          <w:p>
            <w:pPr>
              <w:jc w:val="center"/>
            </w:pPr>
            <w:r>
              <w:rPr>
                <w:color w:val="1F2937"/>
                <w:sz w:val="18"/>
              </w:rPr>
              <w:t>T = 523.15\text{ K}, P = 40\text{ bar}, y{\text{CO}2} = 0.25</w:t>
            </w:r>
          </w:p>
        </w:tc>
      </w:tr>
      <w:tr>
        <w:tc>
          <w:tcPr>
            <w:tcW w:type="dxa" w:w="2340"/>
            <w:tcBorders>
              <w:top w:val="single" w:sz="4" w:space="0" w:color="CBD5E1"/>
              <w:bottom w:val="single" w:sz="4" w:space="0" w:color="CBD5E1"/>
              <w:left w:val="none"/>
              <w:right w:val="none"/>
            </w:tcBorders>
          </w:tcPr>
          <w:p>
            <w:r>
              <w:rPr>
                <w:color w:val="1F2937"/>
                <w:sz w:val="18"/>
              </w:rPr>
              <w:t>Outlet Boundary Condition</w:t>
            </w:r>
          </w:p>
        </w:tc>
        <w:tc>
          <w:tcPr>
            <w:tcW w:type="dxa" w:w="2340"/>
            <w:tcBorders>
              <w:top w:val="single" w:sz="4" w:space="0" w:color="CBD5E1"/>
              <w:bottom w:val="single" w:sz="4" w:space="0" w:color="CBD5E1"/>
              <w:left w:val="none"/>
              <w:right w:val="none"/>
            </w:tcBorders>
          </w:tcPr>
          <w:p>
            <w:pPr>
              <w:jc w:val="center"/>
            </w:pPr>
            <w:r>
              <w:rPr>
                <w:color w:val="1F2937"/>
                <w:sz w:val="18"/>
              </w:rPr>
              <w:t>Pressure Outlet (40.0\text{ bar})</w:t>
            </w:r>
          </w:p>
        </w:tc>
        <w:tc>
          <w:tcPr>
            <w:tcW w:type="dxa" w:w="2340"/>
            <w:tcBorders>
              <w:top w:val="single" w:sz="4" w:space="0" w:color="CBD5E1"/>
              <w:bottom w:val="single" w:sz="4" w:space="0" w:color="CBD5E1"/>
              <w:left w:val="none"/>
              <w:right w:val="none"/>
            </w:tcBorders>
          </w:tcPr>
          <w:p>
            <w:pPr>
              <w:jc w:val="center"/>
            </w:pPr>
            <w:r>
              <w:rPr>
                <w:color w:val="1F2937"/>
                <w:sz w:val="18"/>
              </w:rPr>
              <w:t>Pressure Outlet (40.0\text{ bar})</w:t>
            </w:r>
          </w:p>
        </w:tc>
        <w:tc>
          <w:tcPr>
            <w:tcW w:type="dxa" w:w="2340"/>
            <w:tcBorders>
              <w:top w:val="single" w:sz="4" w:space="0" w:color="CBD5E1"/>
              <w:bottom w:val="single" w:sz="4" w:space="0" w:color="CBD5E1"/>
              <w:left w:val="none"/>
              <w:right w:val="none"/>
            </w:tcBorders>
          </w:tcPr>
          <w:p>
            <w:pPr>
              <w:jc w:val="center"/>
            </w:pPr>
            <w:r>
              <w:rPr>
                <w:color w:val="1F2937"/>
                <w:sz w:val="18"/>
              </w:rPr>
              <w:t>Backflow target mixture</w:t>
            </w:r>
          </w:p>
        </w:tc>
      </w:tr>
      <w:tr>
        <w:tc>
          <w:tcPr>
            <w:tcW w:type="dxa" w:w="2340"/>
            <w:tcBorders>
              <w:top w:val="single" w:sz="4" w:space="0" w:color="CBD5E1"/>
              <w:bottom w:val="single" w:sz="4" w:space="0" w:color="CBD5E1"/>
              <w:left w:val="none"/>
              <w:right w:val="none"/>
            </w:tcBorders>
          </w:tcPr>
          <w:p>
            <w:r>
              <w:rPr>
                <w:color w:val="1F2937"/>
                <w:sz w:val="18"/>
              </w:rPr>
              <w:t>Symmetry Planes</w:t>
            </w:r>
          </w:p>
        </w:tc>
        <w:tc>
          <w:tcPr>
            <w:tcW w:type="dxa" w:w="2340"/>
            <w:tcBorders>
              <w:top w:val="single" w:sz="4" w:space="0" w:color="CBD5E1"/>
              <w:bottom w:val="single" w:sz="4" w:space="0" w:color="CBD5E1"/>
              <w:left w:val="none"/>
              <w:right w:val="none"/>
            </w:tcBorders>
          </w:tcPr>
          <w:p>
            <w:pPr>
              <w:jc w:val="center"/>
            </w:pPr>
            <w:r>
              <w:rPr>
                <w:color w:val="1F2937"/>
                <w:sz w:val="18"/>
              </w:rPr>
              <w:t>Axis (r = 0)</w:t>
            </w:r>
          </w:p>
        </w:tc>
        <w:tc>
          <w:tcPr>
            <w:tcW w:type="dxa" w:w="2340"/>
            <w:tcBorders>
              <w:top w:val="single" w:sz="4" w:space="0" w:color="CBD5E1"/>
              <w:bottom w:val="single" w:sz="4" w:space="0" w:color="CBD5E1"/>
              <w:left w:val="none"/>
              <w:right w:val="none"/>
            </w:tcBorders>
          </w:tcPr>
          <w:p>
            <w:pPr>
              <w:jc w:val="center"/>
            </w:pPr>
            <w:r>
              <w:rPr>
                <w:color w:val="1F2937"/>
                <w:sz w:val="18"/>
              </w:rPr>
              <w:t>Symmetry (x = 0 and y = 0)</w:t>
            </w:r>
          </w:p>
        </w:tc>
        <w:tc>
          <w:tcPr>
            <w:tcW w:type="dxa" w:w="2340"/>
            <w:tcBorders>
              <w:top w:val="single" w:sz="4" w:space="0" w:color="CBD5E1"/>
              <w:bottom w:val="single" w:sz="4" w:space="0" w:color="CBD5E1"/>
              <w:left w:val="none"/>
              <w:right w:val="none"/>
            </w:tcBorders>
          </w:tcPr>
          <w:p>
            <w:pPr>
              <w:jc w:val="center"/>
            </w:pPr>
            <w:r>
              <w:rPr>
                <w:color w:val="1F2937"/>
                <w:sz w:val="18"/>
              </w:rPr>
              <w:t>Zero normal gradient</w:t>
            </w:r>
          </w:p>
        </w:tc>
      </w:tr>
    </w:tbl>
    <w:p/>
    <w:p>
      <w:pPr>
        <w:spacing w:before="280" w:after="120"/>
      </w:pPr>
      <w:r>
        <w:rPr>
          <w:b/>
          <w:color w:val="475569"/>
          <w:sz w:val="28"/>
        </w:rPr>
        <w:t xml:space="preserve"> 17. Project Repository File Index</w:t>
      </w:r>
    </w:p>
    <w:p>
      <w:pPr>
        <w:spacing w:before="40" w:after="80"/>
      </w:pPr>
      <w:r>
        <w:rPr>
          <w:color w:val="1F2937"/>
          <w:sz w:val="20"/>
        </w:rPr>
        <w:t>All verified code, compiled C UDFs, and technical documents are maintained in your repository:</w:t>
      </w:r>
    </w:p>
    <w:p>
      <w:pPr>
        <w:pStyle w:val="ListBullet"/>
        <w:spacing w:before="20" w:after="40"/>
      </w:pPr>
      <w:r>
        <w:rPr>
          <w:color w:val="1F2937"/>
          <w:sz w:val="20"/>
        </w:rPr>
        <w:t>**Primary Technical Markdown Report:** [`project_report.md`](file:///Users/sameershekhar/Documents/GitHub/p1/project_report.md)</w:t>
      </w:r>
    </w:p>
    <w:p>
      <w:pPr>
        <w:pStyle w:val="ListBullet"/>
        <w:spacing w:before="20" w:after="40"/>
      </w:pPr>
      <w:r>
        <w:rPr>
          <w:color w:val="1F2937"/>
          <w:sz w:val="20"/>
        </w:rPr>
        <w:t>**Formatted Word Publication Document:** [`FINAL_COMPREHENSIVE_PROJECT_REPORT.docx`](file:///Users/sameershekhar/Documents/GitHub/p1/FINAL_COMPREHENSIVE_PROJECT_REPORT.docx)</w:t>
      </w:r>
    </w:p>
    <w:p>
      <w:pPr>
        <w:pStyle w:val="ListBullet"/>
        <w:spacing w:before="20" w:after="40"/>
      </w:pPr>
      <w:r>
        <w:rPr>
          <w:color w:val="1F2937"/>
          <w:sz w:val="20"/>
        </w:rPr>
        <w:t>**1D Physical Model &amp; ODE Solver:** [`dme_membrane_reactor.py`](file:///Users/sameershekhar/Documents/GitHub/p1/dme_membrane_reactor.py)</w:t>
      </w:r>
    </w:p>
    <w:p>
      <w:pPr>
        <w:pStyle w:val="ListBullet"/>
        <w:spacing w:before="20" w:after="40"/>
      </w:pPr>
      <w:r>
        <w:rPr>
          <w:color w:val="1F2937"/>
          <w:sz w:val="20"/>
        </w:rPr>
        <w:t>**Bundle Layout &amp; Geometric Dimension Calculator:** [`dme_bundle_reactor.py`](file:///Users/sameershekhar/Documents/GitHub/p1/dme_bundle_reactor.py)</w:t>
      </w:r>
    </w:p>
    <w:p>
      <w:pPr>
        <w:pStyle w:val="ListBullet"/>
        <w:spacing w:before="20" w:after="40"/>
      </w:pPr>
      <w:r>
        <w:rPr>
          <w:color w:val="1F2937"/>
          <w:sz w:val="20"/>
        </w:rPr>
        <w:t>**ANSYS Fluent Compiled C UDF:** [`scripts/ansys_fluent_dme_kinetics.c`](file:///Users/sameershekhar/Documents/GitHub/p1/scripts/ansys_fluent_dme_kinetics.c)</w:t>
      </w:r>
    </w:p>
    <w:p>
      <w:pPr>
        <w:pStyle w:val="ListBullet"/>
        <w:spacing w:before="20" w:after="40"/>
      </w:pPr>
      <w:r>
        <w:rPr>
          <w:color w:val="1F2937"/>
          <w:sz w:val="20"/>
        </w:rPr>
        <w:t>**Figure Generation &amp; Retraining Script:** [`scripts/generate_new_data_figures.py`](file:///Users/sameershekhar/Documents/GitHub/p1/scripts/generate_new_data_figures.py)</w:t>
      </w:r>
    </w:p>
    <w:p>
      <w:pPr>
        <w:spacing w:before="40" w:after="80"/>
      </w:pPr>
      <w:r>
        <w:rPr>
          <w:color w:val="1F2937"/>
          <w:sz w:val="20"/>
        </w:rPr>
        <w:t>*Report verified against thermodynamic Gibbs equilibrium benchmarks, Happel-Brenner packing criteria, and published experimental kinetics.*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