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0A1628" w:val="clear"/>
            <w:tcMar>
              <w:top w:type="dxa" w:w="0"/>
              <w:left w:type="dxa" w:w="0"/>
              <w:bottom w:type="dxa" w:w="0"/>
              <w:right w:type="dxa" w:w="0"/>
            </w:tcMar>
          </w:tcPr>
          <w:p>
            <w:pPr>
              <w:spacing w:before="600"/>
            </w:pPr>
          </w:p>
          <w:p>
            <w:pPr>
              <w:pBdr>
                <w:bottom w:val="single" w:color="00E5FF" w:sz="4" w:space="8"/>
              </w:pBdr>
              <w:spacing w:after="300" w:line="280"/>
              <w:ind w:left="800" w:right="800"/>
              <w:jc w:val="center"/>
            </w:pPr>
            <w:r>
              <w:rPr>
                <w:rFonts w:ascii="Calibri"/>
                <w:b/>
                <w:bCs/>
                <w:color w:val="00E5FF"/>
                <w:spacing w:val="40"/>
                <w:sz w:val="16"/>
                <w:szCs w:val="16"/>
              </w:rPr>
              <w:t xml:space="preserve">M A S T E R   D E V E L O P M E N T   P R O M P T</w:t>
            </w:r>
          </w:p>
          <w:p>
            <w:pPr>
              <w:spacing w:after="200" w:line="1000" w:lineRule="atLeast"/>
              <w:jc w:val="center"/>
            </w:pPr>
            <w:r>
              <w:rPr>
                <w:rFonts w:ascii="Arial"/>
                <w:b/>
                <w:bCs/>
                <w:color w:val="FFFFFF"/>
                <w:sz w:val="88"/>
                <w:szCs w:val="88"/>
              </w:rPr>
              <w:t xml:space="preserve">DataForge AI</w:t>
            </w:r>
          </w:p>
          <w:p>
            <w:pPr>
              <w:spacing w:after="400" w:line="360"/>
              <w:jc w:val="center"/>
            </w:pPr>
            <w:r>
              <w:rPr>
                <w:rFonts w:ascii="Calibri" w:eastAsia="Microsoft YaHei"/>
                <w:color w:val="B0C8E0"/>
                <w:sz w:val="28"/>
                <w:szCs w:val="28"/>
              </w:rPr>
              <w:t xml:space="preserve">ملف تعريفي للبرومبت الرئيسي</w:t>
            </w:r>
          </w:p>
          <w:p>
            <w:pPr>
              <w:spacing w:after="600" w:line="320"/>
              <w:jc w:val="center"/>
            </w:pPr>
            <w:r>
              <w:rPr>
                <w:rFonts w:ascii="Calibri"/>
                <w:i/>
                <w:iCs/>
                <w:color w:val="8AA8C8"/>
                <w:sz w:val="18"/>
                <w:szCs w:val="18"/>
              </w:rPr>
              <w:t xml:space="preserve">Professional Data Cleaning  •  Validation &amp; QA  •  Document Intelligence  •  AI-Powered Analytics</w:t>
            </w:r>
          </w:p>
        </w:tc>
      </w:tr>
    </w:tbl>
    <w:p>
      <w:pPr>
        <w:spacing w:before="400"/>
      </w:pPr>
    </w:p>
    <w:p>
      <w:pPr>
        <w:pStyle w:val="Heading2"/>
        <w:spacing w:after="160" w:before="320" w:line="312"/>
      </w:pPr>
      <w:r>
        <w:rPr>
          <w:rFonts w:ascii="Calibri" w:eastAsia="SimHei"/>
          <w:b/>
          <w:bCs/>
          <w:color w:val="0A1628"/>
          <w:sz w:val="28"/>
          <w:szCs w:val="28"/>
        </w:rPr>
        <w:t xml:space="preserve">ما هو البرومبت الرئيسي؟</w:t>
      </w:r>
    </w:p>
    <w:p>
      <w:pPr>
        <w:spacing w:after="120" w:line="312"/>
        <w:ind w:firstLine="360"/>
        <w:jc w:val="both"/>
      </w:pPr>
      <w:r>
        <w:rPr>
          <w:rFonts w:ascii="Calibri" w:eastAsia="Microsoft YaHei"/>
          <w:color w:val="1A2B40"/>
          <w:sz w:val="22"/>
          <w:szCs w:val="22"/>
        </w:rPr>
        <w:t xml:space="preserve">البرومبت الرئيسي (Master Development Prompt) هو تعليمات تنفيذية متكاملة موجودة في القسم 19 من مواصفة المتطلبات البرمجية (SRS) لتطبيق DataForge AI. صُمّم ليُعطى لمهندس Android أول كفاءة أو لمساعد ذكاء اصطناعي للبرمجة (مثل Claude أو Cursor) ليقوم ببناء التطبيق بالكامل من الصفر حتى الإصدار 1.0 GA — دون الحاجة لطرح أي أسئلة إضافية أو تخمين أي تفاصيل.</w:t>
      </w:r>
    </w:p>
    <w:p>
      <w:pPr>
        <w:pStyle w:val="Heading2"/>
        <w:spacing w:after="160" w:before="320" w:line="312"/>
      </w:pPr>
      <w:r>
        <w:rPr>
          <w:rFonts w:ascii="Calibri" w:eastAsia="SimHei"/>
          <w:b/>
          <w:bCs/>
          <w:color w:val="0A1628"/>
          <w:sz w:val="28"/>
          <w:szCs w:val="28"/>
        </w:rPr>
        <w:t xml:space="preserve">الهدف الأساسي</w:t>
      </w:r>
    </w:p>
    <w:p>
      <w:pPr>
        <w:spacing w:after="120" w:line="312"/>
        <w:ind w:firstLine="360"/>
        <w:jc w:val="both"/>
      </w:pPr>
      <w:r>
        <w:rPr>
          <w:rFonts w:ascii="Calibri" w:eastAsia="Microsoft YaHei"/>
          <w:color w:val="1A2B40"/>
          <w:sz w:val="22"/>
          <w:szCs w:val="22"/>
        </w:rPr>
        <w:t xml:space="preserve">تحويل مواصفة الـ SRS الطويلة (141 صفحة) إلى أمر عمل عملي قابل للتنفيذ خطوة بخطوة، بحيث يعرف المنفذ بالضبط: ماذا يبني، بأي تقنية، بأي ترتيب، ومتى يعتبر كل مرحلة منجزة.</w:t>
      </w:r>
    </w:p>
    <w:p>
      <w:pPr>
        <w:pStyle w:val="Heading2"/>
        <w:spacing w:after="160" w:before="320" w:line="312"/>
      </w:pPr>
      <w:r>
        <w:rPr>
          <w:rFonts w:ascii="Calibri" w:eastAsia="SimHei"/>
          <w:b/>
          <w:bCs/>
          <w:color w:val="0A1628"/>
          <w:sz w:val="28"/>
          <w:szCs w:val="28"/>
        </w:rPr>
        <w:t xml:space="preserve">المكوّنات الرئيسية</w:t>
      </w:r>
    </w:p>
    <w:p>
      <w:pPr>
        <w:pStyle w:val="ListParagraph"/>
        <w:numPr>
          <w:ilvl w:val="0"/>
          <w:numId w:val="1"/>
        </w:numPr>
        <w:spacing w:after="60" w:line="312"/>
      </w:pPr>
      <w:r>
        <w:rPr>
          <w:rFonts w:ascii="Calibri" w:eastAsia="Microsoft YaHei"/>
          <w:b/>
          <w:bCs/>
          <w:color w:val="1A2B40"/>
          <w:sz w:val="22"/>
          <w:szCs w:val="22"/>
        </w:rPr>
        <w:t xml:space="preserve">الهوية والمهمة: </w:t>
      </w:r>
      <w:r>
        <w:rPr>
          <w:rFonts w:ascii="Calibri" w:eastAsia="Microsoft YaHei"/>
          <w:b w:val="false"/>
          <w:bCs w:val="false"/>
          <w:color w:val="1A2B40"/>
          <w:sz w:val="22"/>
          <w:szCs w:val="22"/>
        </w:rPr>
        <w:t xml:space="preserve">تعريف المنفذ كمهندس Android أول في Quantum Labs، يعمل بـ Kotlin 2.0+ وJetpack Compose وHilt وRoom، مع التزام صارم بـ Clean Architecture.</w:t>
      </w:r>
    </w:p>
    <w:p>
      <w:pPr>
        <w:pStyle w:val="ListParagraph"/>
        <w:numPr>
          <w:ilvl w:val="0"/>
          <w:numId w:val="1"/>
        </w:numPr>
        <w:spacing w:after="60" w:line="312"/>
      </w:pPr>
      <w:r>
        <w:rPr>
          <w:rFonts w:ascii="Calibri" w:eastAsia="Microsoft YaHei"/>
          <w:b/>
          <w:bCs/>
          <w:color w:val="1A2B40"/>
          <w:sz w:val="22"/>
          <w:szCs w:val="22"/>
        </w:rPr>
        <w:t xml:space="preserve">ثوابت المشروع: </w:t>
      </w:r>
      <w:r>
        <w:rPr>
          <w:rFonts w:ascii="Calibri" w:eastAsia="Microsoft YaHei"/>
          <w:b w:val="false"/>
          <w:bCs w:val="false"/>
          <w:color w:val="1A2B40"/>
          <w:sz w:val="22"/>
          <w:szCs w:val="22"/>
        </w:rPr>
        <w:t xml:space="preserve">اسم التطبيق، المطور، حقوق النشر، minSdk 26، targetSdk 35، اللغتان العربية والإنجليزية، تشفير AES-256-GCM، خوارزمية سلسلة التدقيق SHA-256.</w:t>
      </w:r>
    </w:p>
    <w:p>
      <w:pPr>
        <w:pStyle w:val="ListParagraph"/>
        <w:numPr>
          <w:ilvl w:val="0"/>
          <w:numId w:val="1"/>
        </w:numPr>
        <w:spacing w:after="60" w:line="312"/>
      </w:pPr>
      <w:r>
        <w:rPr>
          <w:rFonts w:ascii="Calibri" w:eastAsia="Microsoft YaHei"/>
          <w:b/>
          <w:bCs/>
          <w:color w:val="1A2B40"/>
          <w:sz w:val="22"/>
          <w:szCs w:val="22"/>
        </w:rPr>
        <w:t xml:space="preserve">الثوابت المعمارية (10 قواعد): </w:t>
      </w:r>
      <w:r>
        <w:rPr>
          <w:rFonts w:ascii="Calibri" w:eastAsia="Microsoft YaHei"/>
          <w:b w:val="false"/>
          <w:bCs w:val="false"/>
          <w:color w:val="1A2B40"/>
          <w:sz w:val="22"/>
          <w:szCs w:val="22"/>
        </w:rPr>
        <w:t xml:space="preserve">فصل طبقات Clean Architecture، UDF، Compose فقط، Hilt، Room + SQLCipher، offline-first، سجل تدقيق مُسلسل تشفيريًا، RTL كمواطن أول، اختبارات إلزامية.</w:t>
      </w:r>
    </w:p>
    <w:p>
      <w:pPr>
        <w:pStyle w:val="ListParagraph"/>
        <w:numPr>
          <w:ilvl w:val="0"/>
          <w:numId w:val="1"/>
        </w:numPr>
        <w:spacing w:after="60" w:line="312"/>
      </w:pPr>
      <w:r>
        <w:rPr>
          <w:rFonts w:ascii="Calibri" w:eastAsia="Microsoft YaHei"/>
          <w:b/>
          <w:bCs/>
          <w:color w:val="1A2B40"/>
          <w:sz w:val="22"/>
          <w:szCs w:val="22"/>
        </w:rPr>
        <w:t xml:space="preserve">خطة التنفيذ (14 مرحلة، 160 يوم عمل): </w:t>
      </w:r>
      <w:r>
        <w:rPr>
          <w:rFonts w:ascii="Calibri" w:eastAsia="Microsoft YaHei"/>
          <w:b w:val="false"/>
          <w:bCs w:val="false"/>
          <w:color w:val="1A2B40"/>
          <w:sz w:val="22"/>
          <w:szCs w:val="22"/>
        </w:rPr>
        <w:t xml:space="preserve">من هيكل المشروع إلى نظام التصميم، المحلّلات، محرّك التنظيف، التحقق، الوصفات، الذكاء الاصطناعي، التحليل، الشاشات، التصدير، تقوية الأمان، الأداء، ثم Beta و GA.</w:t>
      </w:r>
    </w:p>
    <w:p>
      <w:pPr>
        <w:pStyle w:val="ListParagraph"/>
        <w:numPr>
          <w:ilvl w:val="0"/>
          <w:numId w:val="1"/>
        </w:numPr>
        <w:spacing w:after="60" w:line="312"/>
      </w:pPr>
      <w:r>
        <w:rPr>
          <w:rFonts w:ascii="Calibri" w:eastAsia="Microsoft YaHei"/>
          <w:b/>
          <w:bCs/>
          <w:color w:val="1A2B40"/>
          <w:sz w:val="22"/>
          <w:szCs w:val="22"/>
        </w:rPr>
        <w:t xml:space="preserve">معايير الكود: </w:t>
      </w:r>
      <w:r>
        <w:rPr>
          <w:rFonts w:ascii="Calibri" w:eastAsia="Microsoft YaHei"/>
          <w:b w:val="false"/>
          <w:bCs w:val="false"/>
          <w:color w:val="1A2B40"/>
          <w:sz w:val="22"/>
          <w:szCs w:val="22"/>
        </w:rPr>
        <w:t xml:space="preserve">قواعد إلزامية لـ Kotlin وCompose وCoroutines ومعالجة الأخطاء والتعليقات والاختبارات.</w:t>
      </w:r>
    </w:p>
    <w:p>
      <w:pPr>
        <w:pStyle w:val="ListParagraph"/>
        <w:numPr>
          <w:ilvl w:val="0"/>
          <w:numId w:val="1"/>
        </w:numPr>
        <w:spacing w:after="60" w:line="312"/>
      </w:pPr>
      <w:r>
        <w:rPr>
          <w:rFonts w:ascii="Calibri" w:eastAsia="Microsoft YaHei"/>
          <w:b/>
          <w:bCs/>
          <w:color w:val="1A2B40"/>
          <w:sz w:val="22"/>
          <w:szCs w:val="22"/>
        </w:rPr>
        <w:t xml:space="preserve">قائمة مراجعة PR (10 نقاط): </w:t>
      </w:r>
      <w:r>
        <w:rPr>
          <w:rFonts w:ascii="Calibri" w:eastAsia="Microsoft YaHei"/>
          <w:b w:val="false"/>
          <w:bCs w:val="false"/>
          <w:color w:val="1A2B40"/>
          <w:sz w:val="22"/>
          <w:szCs w:val="22"/>
        </w:rPr>
        <w:t xml:space="preserve">كل ما يجب التحقق منه قبل دمج أي Pull Request.</w:t>
      </w:r>
    </w:p>
    <w:p>
      <w:pPr>
        <w:pStyle w:val="ListParagraph"/>
        <w:numPr>
          <w:ilvl w:val="0"/>
          <w:numId w:val="1"/>
        </w:numPr>
        <w:spacing w:after="60" w:line="312"/>
      </w:pPr>
      <w:r>
        <w:rPr>
          <w:rFonts w:ascii="Calibri" w:eastAsia="Microsoft YaHei"/>
          <w:b/>
          <w:bCs/>
          <w:color w:val="1A2B40"/>
          <w:sz w:val="22"/>
          <w:szCs w:val="22"/>
        </w:rPr>
        <w:t xml:space="preserve">تعريف الإنجاز (9 معايير): </w:t>
      </w:r>
      <w:r>
        <w:rPr>
          <w:rFonts w:ascii="Calibri" w:eastAsia="Microsoft YaHei"/>
          <w:b w:val="false"/>
          <w:bCs w:val="false"/>
          <w:color w:val="1A2B40"/>
          <w:sz w:val="22"/>
          <w:szCs w:val="22"/>
        </w:rPr>
        <w:t xml:space="preserve">متى تُعتبر أي ميزة منجزة بالكامل.</w:t>
      </w:r>
    </w:p>
    <w:p>
      <w:pPr>
        <w:pStyle w:val="ListParagraph"/>
        <w:numPr>
          <w:ilvl w:val="0"/>
          <w:numId w:val="1"/>
        </w:numPr>
        <w:spacing w:after="60" w:line="312"/>
      </w:pPr>
      <w:r>
        <w:rPr>
          <w:rFonts w:ascii="Calibri" w:eastAsia="Microsoft YaHei"/>
          <w:b/>
          <w:bCs/>
          <w:color w:val="1A2B40"/>
          <w:sz w:val="22"/>
          <w:szCs w:val="22"/>
        </w:rPr>
        <w:t xml:space="preserve">التحقق النهائي (14 سيناريو): </w:t>
      </w:r>
      <w:r>
        <w:rPr>
          <w:rFonts w:ascii="Calibri" w:eastAsia="Microsoft YaHei"/>
          <w:b w:val="false"/>
          <w:bCs w:val="false"/>
          <w:color w:val="1A2B40"/>
          <w:sz w:val="22"/>
          <w:szCs w:val="22"/>
        </w:rPr>
        <w:t xml:space="preserve">سيناريوهات اختبار شاملة يجب أن يمر عليها التطبيق قبل إعلان GA.</w:t>
      </w:r>
    </w:p>
    <w:p>
      <w:pPr>
        <w:pStyle w:val="Heading2"/>
        <w:spacing w:after="160" w:before="320" w:line="312"/>
      </w:pPr>
      <w:r>
        <w:rPr>
          <w:rFonts w:ascii="Calibri" w:eastAsia="SimHei"/>
          <w:b/>
          <w:bCs/>
          <w:color w:val="0A1628"/>
          <w:sz w:val="28"/>
          <w:szCs w:val="28"/>
        </w:rPr>
        <w:t xml:space="preserve">خطة التنفيذ على 14 مرحلة</w:t>
      </w:r>
    </w:p>
    <w:tbl>
      <w:tblPr>
        <w:tblW w:type="pct" w:w="100%"/>
        <w:tblBorders>
          <w:top w:val="single" w:color="00E5FF" w:sz="6"/>
          <w:left w:val="none" w:color="FFFFFF" w:sz="0"/>
          <w:bottom w:val="single" w:color="00E5FF" w:sz="6"/>
          <w:right w:val="none" w:color="FFFFFF" w:sz="0"/>
          <w:insideH w:val="single" w:color="C8D8E5" w:sz="1"/>
          <w:insideV w:val="none" w:color="FFFFFF" w:sz="0"/>
        </w:tblBorders>
        <w:tblLayout w:type="fixed"/>
      </w:tblPr>
      <w:tblGrid>
        <w:gridCol w:w="100"/>
        <w:gridCol w:w="100"/>
        <w:gridCol w:w="100"/>
      </w:tblGrid>
      <w:tr>
        <w:trPr>
          <w:cantSplit/>
          <w:tblHeader/>
        </w:trPr>
        <w:tc>
          <w:tcPr>
            <w:tcW w:type="pct" w:w="16%"/>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المرحلة</w:t>
            </w:r>
          </w:p>
        </w:tc>
        <w:tc>
          <w:tcPr>
            <w:tcW w:type="pct" w:w="14%"/>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المدة</w:t>
            </w:r>
          </w:p>
        </w:tc>
        <w:tc>
          <w:tcPr>
            <w:tcW w:type="pct" w:w="70%"/>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المخرجات الرئيسية</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0</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يوم 1</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هيكل المشروع + CI</w:t>
            </w:r>
          </w:p>
        </w:tc>
      </w:tr>
      <w:tr>
        <w:trPr>
          <w:cantSplit/>
        </w:trPr>
        <w:tc>
          <w:tcPr>
            <w:tcW w:type="pct" w:w="16%"/>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Phase 1</w:t>
            </w:r>
          </w:p>
        </w:tc>
        <w:tc>
          <w:tcPr>
            <w:tcW w:type="pct" w:w="14%"/>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4 أيام</w:t>
            </w:r>
          </w:p>
        </w:tc>
        <w:tc>
          <w:tcPr>
            <w:tcW w:type="pct" w:w="70%"/>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نظام التصميم (Material 3 + glassmorphism)</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2</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7 أيام</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قاعدة البيانات المشفّرة + التشفير</w:t>
            </w:r>
          </w:p>
        </w:tc>
      </w:tr>
      <w:tr>
        <w:trPr>
          <w:cantSplit/>
        </w:trPr>
        <w:tc>
          <w:tcPr>
            <w:tcW w:type="pct" w:w="16%"/>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Phase 3</w:t>
            </w:r>
          </w:p>
        </w:tc>
        <w:tc>
          <w:tcPr>
            <w:tcW w:type="pct" w:w="14%"/>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13 يوم</w:t>
            </w:r>
          </w:p>
        </w:tc>
        <w:tc>
          <w:tcPr>
            <w:tcW w:type="pct" w:w="70%"/>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محلّلات الملفات (CSV/XLSX/PDF/DOCX/OCR)</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4</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5 أيام</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محرّك البروفايل</w:t>
            </w:r>
          </w:p>
        </w:tc>
      </w:tr>
      <w:tr>
        <w:trPr>
          <w:cantSplit/>
        </w:trPr>
        <w:tc>
          <w:tcPr>
            <w:tcW w:type="pct" w:w="16%"/>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Phase 5</w:t>
            </w:r>
          </w:p>
        </w:tc>
        <w:tc>
          <w:tcPr>
            <w:tcW w:type="pct" w:w="14%"/>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15 يوم</w:t>
            </w:r>
          </w:p>
        </w:tc>
        <w:tc>
          <w:tcPr>
            <w:tcW w:type="pct" w:w="70%"/>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محرّك التنظيف (11 عملية)</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6</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7 أيام</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محرّك التحقق</w:t>
            </w:r>
          </w:p>
        </w:tc>
      </w:tr>
      <w:tr>
        <w:trPr>
          <w:cantSplit/>
        </w:trPr>
        <w:tc>
          <w:tcPr>
            <w:tcW w:type="pct" w:w="16%"/>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Phase 7</w:t>
            </w:r>
          </w:p>
        </w:tc>
        <w:tc>
          <w:tcPr>
            <w:tcW w:type="pct" w:w="14%"/>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6 أيام</w:t>
            </w:r>
          </w:p>
        </w:tc>
        <w:tc>
          <w:tcPr>
            <w:tcW w:type="pct" w:w="70%"/>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الوصفات والمعالجة الدفعية</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8</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17 يوم</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نظام الذكاء الاصطناعي (9 نماذج on-device)</w:t>
            </w:r>
          </w:p>
        </w:tc>
      </w:tr>
      <w:tr>
        <w:trPr>
          <w:cantSplit/>
        </w:trPr>
        <w:tc>
          <w:tcPr>
            <w:tcW w:type="pct" w:w="16%"/>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Phase 9</w:t>
            </w:r>
          </w:p>
        </w:tc>
        <w:tc>
          <w:tcPr>
            <w:tcW w:type="pct" w:w="14%"/>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10 أيام</w:t>
            </w:r>
          </w:p>
        </w:tc>
        <w:tc>
          <w:tcPr>
            <w:tcW w:type="pct" w:w="70%"/>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التحليل والرسوم البيانية</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10</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25 يوم</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كل الشاشات (12 شاشة)</w:t>
            </w:r>
          </w:p>
        </w:tc>
      </w:tr>
      <w:tr>
        <w:trPr>
          <w:cantSplit/>
        </w:trPr>
        <w:tc>
          <w:tcPr>
            <w:tcW w:type="pct" w:w="16%"/>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Phase 11</w:t>
            </w:r>
          </w:p>
        </w:tc>
        <w:tc>
          <w:tcPr>
            <w:tcW w:type="pct" w:w="14%"/>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8 أيام</w:t>
            </w:r>
          </w:p>
        </w:tc>
        <w:tc>
          <w:tcPr>
            <w:tcW w:type="pct" w:w="70%"/>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التصدير وإصدار التقارير</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12</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7 أيام</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تقوية الأمان</w:t>
            </w:r>
          </w:p>
        </w:tc>
      </w:tr>
      <w:tr>
        <w:trPr>
          <w:cantSplit/>
        </w:trPr>
        <w:tc>
          <w:tcPr>
            <w:tcW w:type="pct" w:w="16%"/>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Phase 13</w:t>
            </w:r>
          </w:p>
        </w:tc>
        <w:tc>
          <w:tcPr>
            <w:tcW w:type="pct" w:w="14%"/>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10 أيام</w:t>
            </w:r>
          </w:p>
        </w:tc>
        <w:tc>
          <w:tcPr>
            <w:tcW w:type="pct" w:w="70%"/>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الأداء والصقل</w:t>
            </w:r>
          </w:p>
        </w:tc>
      </w:tr>
      <w:tr>
        <w:trPr>
          <w:cantSplit/>
        </w:trPr>
        <w:tc>
          <w:tcPr>
            <w:tcW w:type="pct" w:w="16%"/>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Phase 14</w:t>
            </w:r>
          </w:p>
        </w:tc>
        <w:tc>
          <w:tcPr>
            <w:tcW w:type="pct" w:w="14%"/>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25 يوم</w:t>
            </w:r>
          </w:p>
        </w:tc>
        <w:tc>
          <w:tcPr>
            <w:tcW w:type="pct" w:w="70%"/>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Beta و GA</w:t>
            </w:r>
          </w:p>
        </w:tc>
      </w:tr>
    </w:tbl>
    <w:p>
      <w:pPr>
        <w:pStyle w:val="Heading2"/>
        <w:spacing w:after="160" w:before="320" w:line="312"/>
      </w:pPr>
      <w:r>
        <w:rPr>
          <w:rFonts w:ascii="Calibri" w:eastAsia="SimHei"/>
          <w:b/>
          <w:bCs/>
          <w:color w:val="0A1628"/>
          <w:sz w:val="28"/>
          <w:szCs w:val="28"/>
        </w:rPr>
        <w:t xml:space="preserve">الفرق بين البرومبت والـ SRS</w:t>
      </w:r>
    </w:p>
    <w:tbl>
      <w:tblPr>
        <w:tblW w:type="pct" w:w="100%"/>
        <w:tblBorders>
          <w:top w:val="single" w:color="00E5FF" w:sz="6"/>
          <w:left w:val="none" w:color="FFFFFF" w:sz="0"/>
          <w:bottom w:val="single" w:color="00E5FF" w:sz="6"/>
          <w:right w:val="none" w:color="FFFFFF" w:sz="0"/>
          <w:insideH w:val="single" w:color="C8D8E5" w:sz="1"/>
          <w:insideV w:val="none" w:color="FFFFFF" w:sz="0"/>
        </w:tblBorders>
        <w:tblLayout w:type="fixed"/>
      </w:tblPr>
      <w:tblGrid>
        <w:gridCol w:w="100"/>
        <w:gridCol w:w="100"/>
        <w:gridCol w:w="100"/>
      </w:tblGrid>
      <w:tr>
        <w:trPr>
          <w:cantSplit/>
          <w:tblHeader/>
        </w:trPr>
        <w:tc>
          <w:tcPr>
            <w:tcW w:type="pct" w:w="18%"/>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الجانب</w:t>
            </w:r>
          </w:p>
        </w:tc>
        <w:tc>
          <w:tcPr>
            <w:tcW w:type="pct" w:w="41%"/>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الـ SRS (الأقسام 1-18)</w:t>
            </w:r>
          </w:p>
        </w:tc>
        <w:tc>
          <w:tcPr>
            <w:tcW w:type="pct" w:w="41%"/>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البرومبت (القسم 19)</w:t>
            </w:r>
          </w:p>
        </w:tc>
      </w:tr>
      <w:tr>
        <w:trPr>
          <w:cantSplit/>
        </w:trPr>
        <w:tc>
          <w:tcPr>
            <w:tcW w:type="pct" w:w="18%"/>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الطبيعة</w:t>
            </w:r>
          </w:p>
        </w:tc>
        <w:tc>
          <w:tcPr>
            <w:tcW w:type="pct" w:w="41%"/>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ما يجب بناؤه</w:t>
            </w:r>
          </w:p>
        </w:tc>
        <w:tc>
          <w:tcPr>
            <w:tcW w:type="pct" w:w="41%"/>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كيف يتم البناء</w:t>
            </w:r>
          </w:p>
        </w:tc>
      </w:tr>
      <w:tr>
        <w:trPr>
          <w:cantSplit/>
        </w:trPr>
        <w:tc>
          <w:tcPr>
            <w:tcW w:type="pct" w:w="18%"/>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الصياغة</w:t>
            </w:r>
          </w:p>
        </w:tc>
        <w:tc>
          <w:tcPr>
            <w:tcW w:type="pct" w:w="41%"/>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مواصفات</w:t>
            </w:r>
          </w:p>
        </w:tc>
        <w:tc>
          <w:tcPr>
            <w:tcW w:type="pct" w:w="41%"/>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أوامر تنفيذية</w:t>
            </w:r>
          </w:p>
        </w:tc>
      </w:tr>
      <w:tr>
        <w:trPr>
          <w:cantSplit/>
        </w:trPr>
        <w:tc>
          <w:tcPr>
            <w:tcW w:type="pct" w:w="18%"/>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الجمهور</w:t>
            </w:r>
          </w:p>
        </w:tc>
        <w:tc>
          <w:tcPr>
            <w:tcW w:type="pct" w:w="41%"/>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أصحاب المصلحة + المهندسون</w:t>
            </w:r>
          </w:p>
        </w:tc>
        <w:tc>
          <w:tcPr>
            <w:tcW w:type="pct" w:w="41%"/>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المهندس المنفذ مباشرة</w:t>
            </w:r>
          </w:p>
        </w:tc>
      </w:tr>
      <w:tr>
        <w:trPr>
          <w:cantSplit/>
        </w:trPr>
        <w:tc>
          <w:tcPr>
            <w:tcW w:type="pct" w:w="18%"/>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التفاصيل</w:t>
            </w:r>
          </w:p>
        </w:tc>
        <w:tc>
          <w:tcPr>
            <w:tcW w:type="pct" w:w="41%"/>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متطلبات + معايير قبول</w:t>
            </w:r>
          </w:p>
        </w:tc>
        <w:tc>
          <w:tcPr>
            <w:tcW w:type="pct" w:w="41%"/>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خطوات + تحقق بعد كل خطوة</w:t>
            </w:r>
          </w:p>
        </w:tc>
      </w:tr>
      <w:tr>
        <w:trPr>
          <w:cantSplit/>
        </w:trPr>
        <w:tc>
          <w:tcPr>
            <w:tcW w:type="pct" w:w="18%"/>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الطول</w:t>
            </w:r>
          </w:p>
        </w:tc>
        <w:tc>
          <w:tcPr>
            <w:tcW w:type="pct" w:w="41%"/>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~120 صفحة</w:t>
            </w:r>
          </w:p>
        </w:tc>
        <w:tc>
          <w:tcPr>
            <w:tcW w:type="pct" w:w="41%"/>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~22 صفحة</w:t>
            </w:r>
          </w:p>
        </w:tc>
      </w:tr>
    </w:tbl>
    <w:p>
      <w:pPr>
        <w:pStyle w:val="Heading2"/>
        <w:spacing w:after="160" w:before="320" w:line="312"/>
      </w:pPr>
      <w:r>
        <w:rPr>
          <w:rFonts w:ascii="Calibri" w:eastAsia="SimHei"/>
          <w:b/>
          <w:bCs/>
          <w:color w:val="0A1628"/>
          <w:sz w:val="28"/>
          <w:szCs w:val="28"/>
        </w:rPr>
        <w:t xml:space="preserve">كيف يُستخدم عمليًا</w:t>
      </w:r>
    </w:p>
    <w:tbl>
      <w:tblPr>
        <w:tblW w:type="pct" w:w="100%"/>
        <w:tblBorders>
          <w:top w:val="single" w:color="00E5FF" w:sz="12"/>
          <w:left w:val="single" w:color="00E5FF" w:sz="4"/>
          <w:bottom w:val="single" w:color="00E5FF" w:sz="4"/>
          <w:right w:val="single" w:color="00E5FF" w:sz="4"/>
          <w:insideH w:val="none" w:color="FFFFFF" w:sz="0"/>
          <w:insideV w:val="none" w:color="FFFFFF" w:sz="0"/>
        </w:tblBorders>
        <w:tblLayout w:type="fixed"/>
      </w:tblPr>
      <w:tblGrid>
        <w:gridCol w:w="100"/>
      </w:tblGrid>
      <w:tr>
        <w:trPr>
          <w:cantSplit/>
        </w:trPr>
        <w:tc>
          <w:tcPr>
            <w:tcW w:type="pct" w:w="100%"/>
            <w:shd w:fill="F0F6FA" w:val="clear"/>
            <w:tcMar>
              <w:top w:type="dxa" w:w="160"/>
              <w:left w:type="dxa" w:w="200"/>
              <w:bottom w:type="dxa" w:w="160"/>
              <w:right w:type="dxa" w:w="200"/>
            </w:tcMar>
          </w:tcPr>
          <w:p>
            <w:pPr>
              <w:spacing w:after="80" w:line="280"/>
            </w:pPr>
            <w:r>
              <w:rPr>
                <w:rFonts w:ascii="Calibri" w:eastAsia="SimHei"/>
                <w:b/>
                <w:bCs/>
                <w:color w:val="7B61FF"/>
                <w:sz w:val="22"/>
                <w:szCs w:val="22"/>
              </w:rPr>
              <w:t xml:space="preserve">الطريقة 1 — مع مساعد ذكاء اصطناعي</w:t>
            </w:r>
          </w:p>
          <w:p>
            <w:pPr>
              <w:spacing w:line="312"/>
              <w:jc w:val="both"/>
            </w:pPr>
            <w:r>
              <w:rPr>
                <w:rFonts w:ascii="Calibri" w:eastAsia="Microsoft YaHei"/>
                <w:color w:val="1A2B40"/>
                <w:sz w:val="21"/>
                <w:szCs w:val="21"/>
              </w:rPr>
              <w:t xml:space="preserve">انسخ القسم 19 كاملًا → الصقه في Claude أو Cursor أو أي مساعد برمجة → أرفق الأقسام 1-18 كسياق → اطلب: "ابدأ التنفيذ من Phase 0 وأكمل كل مرحلة بمعايير التحقق".</w:t>
            </w:r>
          </w:p>
        </w:tc>
      </w:tr>
    </w:tbl>
    <w:p>
      <w:pPr>
        <w:spacing w:before="200"/>
      </w:pPr>
    </w:p>
    <w:tbl>
      <w:tblPr>
        <w:tblW w:type="pct" w:w="100%"/>
        <w:tblBorders>
          <w:top w:val="single" w:color="00E5FF" w:sz="12"/>
          <w:left w:val="single" w:color="00E5FF" w:sz="4"/>
          <w:bottom w:val="single" w:color="00E5FF" w:sz="4"/>
          <w:right w:val="single" w:color="00E5FF" w:sz="4"/>
          <w:insideH w:val="none" w:color="FFFFFF" w:sz="0"/>
          <w:insideV w:val="none" w:color="FFFFFF" w:sz="0"/>
        </w:tblBorders>
        <w:tblLayout w:type="fixed"/>
      </w:tblPr>
      <w:tblGrid>
        <w:gridCol w:w="100"/>
      </w:tblGrid>
      <w:tr>
        <w:trPr>
          <w:cantSplit/>
        </w:trPr>
        <w:tc>
          <w:tcPr>
            <w:tcW w:type="pct" w:w="100%"/>
            <w:shd w:fill="F0F6FA" w:val="clear"/>
            <w:tcMar>
              <w:top w:type="dxa" w:w="160"/>
              <w:left w:type="dxa" w:w="200"/>
              <w:bottom w:type="dxa" w:w="160"/>
              <w:right w:type="dxa" w:w="200"/>
            </w:tcMar>
          </w:tcPr>
          <w:p>
            <w:pPr>
              <w:spacing w:after="80" w:line="280"/>
            </w:pPr>
            <w:r>
              <w:rPr>
                <w:rFonts w:ascii="Calibri" w:eastAsia="SimHei"/>
                <w:b/>
                <w:bCs/>
                <w:color w:val="7B61FF"/>
                <w:sz w:val="22"/>
                <w:szCs w:val="22"/>
              </w:rPr>
              <w:t xml:space="preserve">الطريقة 2 — مع مهندس بشري</w:t>
            </w:r>
          </w:p>
          <w:p>
            <w:pPr>
              <w:spacing w:line="312"/>
              <w:jc w:val="both"/>
            </w:pPr>
            <w:r>
              <w:rPr>
                <w:rFonts w:ascii="Calibri" w:eastAsia="Microsoft YaHei"/>
                <w:color w:val="1A2B40"/>
                <w:sz w:val="21"/>
                <w:szCs w:val="21"/>
              </w:rPr>
              <w:t xml:space="preserve">مهندس جديد ينضم للفريق يقرأ القسم 19 → يبدأ من Phase 0 → ينفّذ → يتحقق → ينتقل للمرحلة التالية، دون الحاجة لسؤال أي شخص.</w:t>
            </w:r>
          </w:p>
        </w:tc>
      </w:tr>
    </w:tbl>
    <w:p>
      <w:pPr>
        <w:spacing w:before="200"/>
      </w:pPr>
    </w:p>
    <w:tbl>
      <w:tblPr>
        <w:tblW w:type="pct" w:w="100%"/>
        <w:tblBorders>
          <w:top w:val="single" w:color="00E5FF" w:sz="12"/>
          <w:left w:val="single" w:color="00E5FF" w:sz="4"/>
          <w:bottom w:val="single" w:color="00E5FF" w:sz="4"/>
          <w:right w:val="single" w:color="00E5FF" w:sz="4"/>
          <w:insideH w:val="none" w:color="FFFFFF" w:sz="0"/>
          <w:insideV w:val="none" w:color="FFFFFF" w:sz="0"/>
        </w:tblBorders>
        <w:tblLayout w:type="fixed"/>
      </w:tblPr>
      <w:tblGrid>
        <w:gridCol w:w="100"/>
      </w:tblGrid>
      <w:tr>
        <w:trPr>
          <w:cantSplit/>
        </w:trPr>
        <w:tc>
          <w:tcPr>
            <w:tcW w:type="pct" w:w="100%"/>
            <w:shd w:fill="F0F6FA" w:val="clear"/>
            <w:tcMar>
              <w:top w:type="dxa" w:w="160"/>
              <w:left w:type="dxa" w:w="200"/>
              <w:bottom w:type="dxa" w:w="160"/>
              <w:right w:type="dxa" w:w="200"/>
            </w:tcMar>
          </w:tcPr>
          <w:p>
            <w:pPr>
              <w:spacing w:after="80" w:line="280"/>
            </w:pPr>
            <w:r>
              <w:rPr>
                <w:rFonts w:ascii="Calibri" w:eastAsia="SimHei"/>
                <w:b/>
                <w:bCs/>
                <w:color w:val="7B61FF"/>
                <w:sz w:val="22"/>
                <w:szCs w:val="22"/>
              </w:rPr>
              <w:t xml:space="preserve">الطريقة 3 — لمراجعة الكود</w:t>
            </w:r>
          </w:p>
          <w:p>
            <w:pPr>
              <w:spacing w:line="312"/>
              <w:jc w:val="both"/>
            </w:pPr>
            <w:r>
              <w:rPr>
                <w:rFonts w:ascii="Calibri" w:eastAsia="Microsoft YaHei"/>
                <w:color w:val="1A2B40"/>
                <w:sz w:val="21"/>
                <w:szCs w:val="21"/>
              </w:rPr>
              <w:t xml:space="preserve">يستخدمه الـ Code Reviewer كـ checklist للتحقق من أن أي Pull Request يلتزم بالمعايير المعمارية ومعايير الكود وتعريف الإنجاز.</w:t>
            </w:r>
          </w:p>
        </w:tc>
      </w:tr>
    </w:tbl>
    <w:p>
      <w:pPr>
        <w:pStyle w:val="Heading2"/>
        <w:spacing w:after="160" w:before="320" w:line="312"/>
      </w:pPr>
      <w:r>
        <w:rPr>
          <w:rFonts w:ascii="Calibri" w:eastAsia="SimHei"/>
          <w:b/>
          <w:bCs/>
          <w:color w:val="0A1628"/>
          <w:sz w:val="28"/>
          <w:szCs w:val="28"/>
        </w:rPr>
        <w:t xml:space="preserve">المخرجات النهائية المتوقعة</w:t>
      </w:r>
    </w:p>
    <w:p>
      <w:pPr>
        <w:pStyle w:val="ListParagraph"/>
        <w:numPr>
          <w:ilvl w:val="0"/>
          <w:numId w:val="1"/>
        </w:numPr>
        <w:spacing w:after="60" w:line="312"/>
      </w:pPr>
      <w:r>
        <w:rPr>
          <w:rFonts w:ascii="Calibri" w:eastAsia="Microsoft YaHei"/>
          <w:color w:val="1A2B40"/>
          <w:sz w:val="22"/>
          <w:szCs w:val="22"/>
        </w:rPr>
        <w:t xml:space="preserve">تطبيق Android كامل وجاهز للنشر على Google Play (1.0 GA)</w:t>
      </w:r>
    </w:p>
    <w:p>
      <w:pPr>
        <w:pStyle w:val="ListParagraph"/>
        <w:numPr>
          <w:ilvl w:val="0"/>
          <w:numId w:val="1"/>
        </w:numPr>
        <w:spacing w:after="60" w:line="312"/>
      </w:pPr>
      <w:r>
        <w:rPr>
          <w:rFonts w:ascii="Calibri" w:eastAsia="Microsoft YaHei"/>
          <w:color w:val="1A2B40"/>
          <w:sz w:val="22"/>
          <w:szCs w:val="22"/>
        </w:rPr>
        <w:t xml:space="preserve">دعم 14 صيغة ملف: CSV, XLSX, PDF, DOCX, JSON, XML, Parquet, SQLite, PPTX, صور, إلخ</w:t>
      </w:r>
    </w:p>
    <w:p>
      <w:pPr>
        <w:pStyle w:val="ListParagraph"/>
        <w:numPr>
          <w:ilvl w:val="0"/>
          <w:numId w:val="1"/>
        </w:numPr>
        <w:spacing w:after="60" w:line="312"/>
      </w:pPr>
      <w:r>
        <w:rPr>
          <w:rFonts w:ascii="Calibri" w:eastAsia="Microsoft YaHei"/>
          <w:color w:val="1A2B40"/>
          <w:sz w:val="22"/>
          <w:szCs w:val="22"/>
        </w:rPr>
        <w:t xml:space="preserve">محرّك تنظيف بـ 11 عملية احترافية مع معاينة وتراجع وتدقيق</w:t>
      </w:r>
    </w:p>
    <w:p>
      <w:pPr>
        <w:pStyle w:val="ListParagraph"/>
        <w:numPr>
          <w:ilvl w:val="0"/>
          <w:numId w:val="1"/>
        </w:numPr>
        <w:spacing w:after="60" w:line="312"/>
      </w:pPr>
      <w:r>
        <w:rPr>
          <w:rFonts w:ascii="Calibri" w:eastAsia="Microsoft YaHei"/>
          <w:color w:val="1A2B40"/>
          <w:sz w:val="22"/>
          <w:szCs w:val="22"/>
        </w:rPr>
        <w:t xml:space="preserve">ذكاء اصطناعي على الجهاز (Gemma 2B + Phi-3-mini) — بدون إرسال بيانات للسحابة</w:t>
      </w:r>
    </w:p>
    <w:p>
      <w:pPr>
        <w:pStyle w:val="ListParagraph"/>
        <w:numPr>
          <w:ilvl w:val="0"/>
          <w:numId w:val="1"/>
        </w:numPr>
        <w:spacing w:after="60" w:line="312"/>
      </w:pPr>
      <w:r>
        <w:rPr>
          <w:rFonts w:ascii="Calibri" w:eastAsia="Microsoft YaHei"/>
          <w:color w:val="1A2B40"/>
          <w:sz w:val="22"/>
          <w:szCs w:val="22"/>
        </w:rPr>
        <w:t xml:space="preserve">سجل تدقيق تشفيري مُسلسل (SHA-256) قابل لإعادة التشغيل والتصدير الموقّع</w:t>
      </w:r>
    </w:p>
    <w:p>
      <w:pPr>
        <w:pStyle w:val="ListParagraph"/>
        <w:numPr>
          <w:ilvl w:val="0"/>
          <w:numId w:val="1"/>
        </w:numPr>
        <w:spacing w:after="60" w:line="312"/>
      </w:pPr>
      <w:r>
        <w:rPr>
          <w:rFonts w:ascii="Calibri" w:eastAsia="Microsoft YaHei"/>
          <w:color w:val="1A2B40"/>
          <w:sz w:val="22"/>
          <w:szCs w:val="22"/>
        </w:rPr>
        <w:t xml:space="preserve">واجهة Material Design 3 + glassmorphism بالعربية والإنجليزية (RTL/LTR)</w:t>
      </w:r>
    </w:p>
    <w:p>
      <w:pPr>
        <w:pStyle w:val="ListParagraph"/>
        <w:numPr>
          <w:ilvl w:val="0"/>
          <w:numId w:val="1"/>
        </w:numPr>
        <w:spacing w:after="60" w:line="312"/>
      </w:pPr>
      <w:r>
        <w:rPr>
          <w:rFonts w:ascii="Calibri" w:eastAsia="Microsoft YaHei"/>
          <w:color w:val="1A2B40"/>
          <w:sz w:val="22"/>
          <w:szCs w:val="22"/>
        </w:rPr>
        <w:t xml:space="preserve">أمان على مستوى المؤسسات: Keystore + SQLCipher + biometric + panic wipe</w:t>
      </w:r>
    </w:p>
    <w:p>
      <w:pPr>
        <w:pStyle w:val="ListParagraph"/>
        <w:numPr>
          <w:ilvl w:val="0"/>
          <w:numId w:val="1"/>
        </w:numPr>
        <w:spacing w:after="60" w:line="312"/>
      </w:pPr>
      <w:r>
        <w:rPr>
          <w:rFonts w:ascii="Calibri" w:eastAsia="Microsoft YaHei"/>
          <w:color w:val="1A2B40"/>
          <w:sz w:val="22"/>
          <w:szCs w:val="22"/>
        </w:rPr>
        <w:t xml:space="preserve">اختبارات شاملة: 85%+ line coverage، 100% critical-path UI، macrobenchmarks</w:t>
      </w:r>
    </w:p>
    <w:p>
      <w:pPr>
        <w:pStyle w:val="Heading2"/>
        <w:spacing w:after="160" w:before="320" w:line="312"/>
      </w:pPr>
      <w:r>
        <w:rPr>
          <w:rFonts w:ascii="Calibri" w:eastAsia="SimHei"/>
          <w:b/>
          <w:bCs/>
          <w:color w:val="0A1628"/>
          <w:sz w:val="28"/>
          <w:szCs w:val="28"/>
        </w:rPr>
        <w:t xml:space="preserve">المراجع</w:t>
      </w:r>
    </w:p>
    <w:tbl>
      <w:tblPr>
        <w:tblW w:type="pct" w:w="100%"/>
        <w:tblBorders>
          <w:top w:val="single" w:color="00E5FF" w:sz="6"/>
          <w:left w:val="none" w:color="FFFFFF" w:sz="0"/>
          <w:bottom w:val="single" w:color="00E5FF" w:sz="6"/>
          <w:right w:val="none" w:color="FFFFFF" w:sz="0"/>
          <w:insideH w:val="single" w:color="C8D8E5" w:sz="1"/>
          <w:insideV w:val="none" w:color="FFFFFF" w:sz="0"/>
        </w:tblBorders>
        <w:tblLayout w:type="fixed"/>
      </w:tblPr>
      <w:tblGrid>
        <w:gridCol w:w="100"/>
        <w:gridCol w:w="100"/>
      </w:tblGrid>
      <w:tr>
        <w:trPr>
          <w:cantSplit/>
          <w:tblHeader/>
        </w:trPr>
        <w:tc>
          <w:tcPr>
            <w:tcW w:type="pct" w:w="22%"/>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المرجع</w:t>
            </w:r>
          </w:p>
        </w:tc>
        <w:tc>
          <w:tcPr>
            <w:tcW w:type="pct" w:w="78%"/>
            <w:shd w:fill="0A1628" w:val="clear"/>
            <w:tcMar>
              <w:top w:type="dxa" w:w="100"/>
              <w:left w:type="dxa" w:w="140"/>
              <w:bottom w:type="dxa" w:w="100"/>
              <w:right w:type="dxa" w:w="140"/>
            </w:tcMar>
          </w:tcPr>
          <w:p>
            <w:pPr>
              <w:spacing w:line="280"/>
            </w:pPr>
            <w:r>
              <w:rPr>
                <w:rFonts w:ascii="Calibri" w:eastAsia="SimHei"/>
                <w:b/>
                <w:bCs/>
                <w:color w:val="FFFFFF"/>
                <w:sz w:val="20"/>
                <w:szCs w:val="20"/>
              </w:rPr>
              <w:t xml:space="preserve">الوصف</w:t>
            </w:r>
          </w:p>
        </w:tc>
      </w:tr>
      <w:tr>
        <w:trPr>
          <w:cantSplit/>
        </w:trPr>
        <w:tc>
          <w:tcPr>
            <w:tcW w:type="pct" w:w="22%"/>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الملف الكامل</w:t>
            </w:r>
          </w:p>
        </w:tc>
        <w:tc>
          <w:tcPr>
            <w:tcW w:type="pct" w:w="78%"/>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DataForge_AI_SRS_Master_Prompt.docx — 141 صفحة</w:t>
            </w:r>
          </w:p>
        </w:tc>
      </w:tr>
      <w:tr>
        <w:trPr>
          <w:cantSplit/>
        </w:trPr>
        <w:tc>
          <w:tcPr>
            <w:tcW w:type="pct" w:w="22%"/>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القسم 19</w:t>
            </w:r>
          </w:p>
        </w:tc>
        <w:tc>
          <w:tcPr>
            <w:tcW w:type="pct" w:w="78%"/>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البرومبت الرئيسي — يقع في الصفحات 130-148 تقريبًا</w:t>
            </w:r>
          </w:p>
        </w:tc>
      </w:tr>
      <w:tr>
        <w:trPr>
          <w:cantSplit/>
        </w:trPr>
        <w:tc>
          <w:tcPr>
            <w:tcW w:type="pct" w:w="22%"/>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المطوّر</w:t>
            </w:r>
          </w:p>
        </w:tc>
        <w:tc>
          <w:tcPr>
            <w:tcW w:type="pct" w:w="78%"/>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Quantum Labs</w:t>
            </w:r>
          </w:p>
        </w:tc>
      </w:tr>
      <w:tr>
        <w:trPr>
          <w:cantSplit/>
        </w:trPr>
        <w:tc>
          <w:tcPr>
            <w:tcW w:type="pct" w:w="22%"/>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الإصدار</w:t>
            </w:r>
          </w:p>
        </w:tc>
        <w:tc>
          <w:tcPr>
            <w:tcW w:type="pct" w:w="78%"/>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v1.0 — يناير 2026</w:t>
            </w:r>
          </w:p>
        </w:tc>
      </w:tr>
      <w:tr>
        <w:trPr>
          <w:cantSplit/>
        </w:trPr>
        <w:tc>
          <w:tcPr>
            <w:tcW w:type="pct" w:w="22%"/>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المرجع</w:t>
            </w:r>
          </w:p>
        </w:tc>
        <w:tc>
          <w:tcPr>
            <w:tcW w:type="pct" w:w="78%"/>
            <w:shd w:fill="F0F6FA" w:val="clear"/>
            <w:tcMar>
              <w:top w:type="dxa" w:w="80"/>
              <w:left w:type="dxa" w:w="140"/>
              <w:bottom w:type="dxa" w:w="80"/>
              <w:right w:type="dxa" w:w="140"/>
            </w:tcMar>
          </w:tcPr>
          <w:p>
            <w:pPr>
              <w:spacing w:line="280"/>
            </w:pPr>
            <w:r>
              <w:rPr>
                <w:rFonts w:ascii="Calibri" w:eastAsia="Microsoft YaHei"/>
                <w:color w:val="1A2B40"/>
                <w:sz w:val="19"/>
                <w:szCs w:val="19"/>
              </w:rPr>
              <w:t xml:space="preserve">QL-SRS-DFAI-2026-001</w:t>
            </w:r>
          </w:p>
        </w:tc>
      </w:tr>
      <w:tr>
        <w:trPr>
          <w:cantSplit/>
        </w:trPr>
        <w:tc>
          <w:tcPr>
            <w:tcW w:type="pct" w:w="22%"/>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التصنيف</w:t>
            </w:r>
          </w:p>
        </w:tc>
        <w:tc>
          <w:tcPr>
            <w:tcW w:type="pct" w:w="78%"/>
            <w:shd w:fill="FFFFFF" w:val="clear"/>
            <w:tcMar>
              <w:top w:type="dxa" w:w="80"/>
              <w:left w:type="dxa" w:w="140"/>
              <w:bottom w:type="dxa" w:w="80"/>
              <w:right w:type="dxa" w:w="140"/>
            </w:tcMar>
          </w:tcPr>
          <w:p>
            <w:pPr>
              <w:spacing w:line="280"/>
            </w:pPr>
            <w:r>
              <w:rPr>
                <w:rFonts w:ascii="Calibri" w:eastAsia="Microsoft YaHei"/>
                <w:color w:val="1A2B40"/>
                <w:sz w:val="19"/>
                <w:szCs w:val="19"/>
              </w:rPr>
              <w:t xml:space="preserve">Confidential — Internal &amp; Authorized Partners Only</w:t>
            </w:r>
          </w:p>
        </w:tc>
      </w:tr>
    </w:tbl>
    <w:p>
      <w:pPr>
        <w:spacing w:before="400"/>
      </w:pPr>
    </w:p>
    <w:p>
      <w:pPr>
        <w:pBdr>
          <w:top w:val="single" w:color="00E5FF" w:sz="4" w:space="8"/>
        </w:pBdr>
        <w:spacing w:after="120" w:before="240" w:line="280"/>
        <w:jc w:val="center"/>
      </w:pPr>
      <w:r>
        <w:rPr>
          <w:rFonts w:ascii="Calibri"/>
          <w:color w:val="5A6B85"/>
          <w:sz w:val="16"/>
          <w:szCs w:val="16"/>
        </w:rPr>
        <w:t xml:space="preserve">© 2026 Quantum Labs. All Rights Reserved. Confidential &amp; Proprietary.</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spacing w:after="160" w:before="320" w:line="312"/>
    </w:pPr>
    <w:rPr>
      <w:rFonts w:ascii="Calibri" w:eastAsia="SimHei"/>
      <w:b/>
      <w:bCs/>
      <w:color w:val="0A162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DataForge AI — Master Prompt Introduction</dc:title>
  <dc:creator>Quantum Labs</dc:creator>
  <dc:description>ملف تعريفي للبرومبت الرئيسي لتطوير تطبيق DataForge AI</dc:description>
  <cp:lastModifiedBy>Un-named</cp:lastModifiedBy>
  <cp:revision>1</cp:revision>
  <dcterms:created xsi:type="dcterms:W3CDTF">2026-07-13T11:01:04.728Z</dcterms:created>
  <dcterms:modified xsi:type="dcterms:W3CDTF">2026-07-13T11:01:04.728Z</dcterms:modified>
</cp:coreProperties>
</file>

<file path=docProps/custom.xml><?xml version="1.0" encoding="utf-8"?>
<Properties xmlns="http://schemas.openxmlformats.org/officeDocument/2006/custom-properties" xmlns:vt="http://schemas.openxmlformats.org/officeDocument/2006/docPropsVTypes"/>
</file>