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2"/>
          <w:szCs w:val="32"/>
        </w:rPr>
        <w:t xml:space="preserve">Kubernetes Cluster Review: kindo-ai</w:t>
      </w:r>
    </w:p>
    <w:p>
      <w:pPr>
        <w:spacing w:after="320"/>
      </w:pPr>
      <w:r>
        <w:rPr>
          <w:i/>
          <w:iCs/>
          <w:sz w:val="20"/>
          <w:szCs w:val="20"/>
        </w:rPr>
        <w:t xml:space="preserve">Restricted environment. Discovery only, no changes were made to the cluster.</w:t>
      </w:r>
    </w:p>
    <w:p>
      <w:pPr>
        <w:pStyle w:val="Heading2"/>
        <w:spacing w:after="140" w:before="280"/>
      </w:pPr>
      <w:r>
        <w:t xml:space="preserve">Overview</w:t>
      </w:r>
    </w:p>
    <w:p>
      <w:pPr>
        <w:spacing w:after="160"/>
      </w:pPr>
      <w:r>
        <w:t xml:space="preserve">I completed a full discovery review of the kindo-ai cluster. No changes were made during this process.</w:t>
      </w:r>
    </w:p>
    <w:p>
      <w:pPr>
        <w:spacing w:after="160"/>
      </w:pPr>
      <w:r>
        <w:t xml:space="preserve">At a high level, the core Kubernetes platform is in good shape. Etcd is healthy, node disk layout is well structured, audit logging and secrets encryption are enabled, and Longhorn is tuned appropriately. From a foundation standpoint, the cluster is stable.</w:t>
      </w:r>
    </w:p>
    <w:p>
      <w:pPr>
        <w:spacing w:after="160"/>
      </w:pPr>
      <w:r>
        <w:t xml:space="preserve">Where alignment is needed is on production readiness and operational consistency. The gaps identified are not isolated. They point to a lack of standardization across how services are deployed, secured, and operated.</w:t>
      </w:r>
    </w:p>
    <w:p>
      <w:pPr>
        <w:pStyle w:val="Heading2"/>
        <w:spacing w:after="140" w:before="280"/>
      </w:pPr>
      <w:r>
        <w:t xml:space="preserve">Priority findings</w:t>
      </w:r>
    </w:p>
    <w:p>
      <w:pPr>
        <w:spacing w:after="60" w:before="180"/>
      </w:pPr>
      <w:r>
        <w:rPr>
          <w:b/>
          <w:bCs/>
        </w:rPr>
        <w:t xml:space="preserve">1. Management plane single points of failure</w:t>
      </w:r>
    </w:p>
    <w:p>
      <w:pPr>
        <w:spacing w:after="120"/>
      </w:pPr>
      <w:r>
        <w:t xml:space="preserve">HAProxy, Rancher, and MinIO are each running as single instances outside the cluster with no redundancy. Impact depends on which component fails: HAProxy loss disrupts access to the Kubernetes API and ingress immediately, MinIO loss takes the intended backup destination offline, and Rancher loss makes the management plane unavailable while cluster workloads continue to serve users. None of these have failover in place.</w:t>
      </w:r>
    </w:p>
    <w:p>
      <w:pPr>
        <w:spacing w:after="60" w:before="180"/>
      </w:pPr>
      <w:r>
        <w:rPr>
          <w:b/>
          <w:bCs/>
        </w:rPr>
        <w:t xml:space="preserve">2. Database administration UI exposed without authentication</w:t>
      </w:r>
    </w:p>
    <w:p>
      <w:pPr>
        <w:spacing w:after="120"/>
      </w:pPr>
      <w:r>
        <w:t xml:space="preserve">pgweb is reachable at pgweb.kbai.ttmtech.com with no ingress-level authentication configured. The ingress serves plain HTTP on port 80 with no TLS configuration and no redirect to HTTPS. A SQL administration console is therefore exposed to anyone on the network that can resolve the hostname, without either access control or encryption.</w:t>
      </w:r>
    </w:p>
    <w:p>
      <w:pPr>
        <w:spacing w:after="60" w:before="180"/>
      </w:pPr>
      <w:r>
        <w:rPr>
          <w:b/>
          <w:bCs/>
        </w:rPr>
        <w:t xml:space="preserve">3. Backup and recovery gaps</w:t>
      </w:r>
    </w:p>
    <w:p>
      <w:pPr>
        <w:spacing w:after="120"/>
      </w:pPr>
      <w:r>
        <w:t xml:space="preserve">Longhorn is configured for replication but has no external backup target. Replication protects against node failure, but not against data corruption, deletion, or operator error. Zuva's Postgres instance has no backups configured, while Kindo's Postgres in the same cluster demonstrates a working backup model. The capability exists but is not consistently applied. Cohesity is already used to back up the Hillsborough Kubernetes cluster and can be extended to this cluster. Plans to be shared shortly.</w:t>
      </w:r>
    </w:p>
    <w:p>
      <w:pPr>
        <w:spacing w:after="60" w:before="180"/>
      </w:pPr>
      <w:r>
        <w:rPr>
          <w:b/>
          <w:bCs/>
        </w:rPr>
        <w:t xml:space="preserve">4. Pod-level security enforcement is effectively disabled</w:t>
      </w:r>
    </w:p>
    <w:p>
      <w:pPr>
        <w:spacing w:after="120"/>
      </w:pPr>
      <w:r>
        <w:t xml:space="preserve">Pod Security Admission is configured but set to privileged. In practice, this means no meaningful pod-level security enforcement is in place. A large number of workloads are running without restrictions, increasing the blast radius in the event of compromise.</w:t>
      </w:r>
    </w:p>
    <w:p>
      <w:pPr>
        <w:spacing w:after="60" w:before="180"/>
      </w:pPr>
      <w:r>
        <w:rPr>
          <w:b/>
          <w:bCs/>
        </w:rPr>
        <w:t xml:space="preserve">5. Certificate management is incomplete</w:t>
      </w:r>
    </w:p>
    <w:p>
      <w:pPr>
        <w:spacing w:after="120"/>
      </w:pPr>
      <w:r>
        <w:t xml:space="preserve">cert-manager is installed but not configured with any Issuer or ClusterIssuer. Certificate resources exist but are not being processed. TLS is currently handled through a manually distributed DigiCert wildcard certificate deployed across multiple namespaces. This certificate expires August 30, 2026 and must be renewed manually. All ingress depends on one manually managed certificate with no automated renewal path.</w:t>
      </w:r>
    </w:p>
    <w:p>
      <w:pPr>
        <w:spacing w:after="60" w:before="180"/>
      </w:pPr>
      <w:r>
        <w:rPr>
          <w:b/>
          <w:bCs/>
        </w:rPr>
        <w:t xml:space="preserve">6. Kafka data is not persistent</w:t>
      </w:r>
    </w:p>
    <w:p>
      <w:pPr>
        <w:spacing w:after="120"/>
      </w:pPr>
      <w:r>
        <w:t xml:space="preserve">Kafka brokers are using ephemeral storage. Replication is configured correctly but does not protect against a cluster-wide restart (planned or otherwise). In that scenario all brokers come back empty, leading to complete loss of topic data, including in-flight pipeline state.</w:t>
      </w:r>
    </w:p>
    <w:p>
      <w:pPr>
        <w:spacing w:after="60" w:before="180"/>
      </w:pPr>
      <w:r>
        <w:rPr>
          <w:b/>
          <w:bCs/>
        </w:rPr>
        <w:t xml:space="preserve">7. LLM model data is not protected</w:t>
      </w:r>
    </w:p>
    <w:p>
      <w:pPr>
        <w:spacing w:after="120"/>
      </w:pPr>
      <w:r>
        <w:t xml:space="preserve">Approximately 580 GB of model weights are stored on the GPU node's local disk under a path that suggests Longhorn, but is not managed by it. These files are not replicated and not backed up. Loss of the node would require re-downloading large datasets during an outage.</w:t>
      </w:r>
    </w:p>
    <w:p>
      <w:pPr>
        <w:spacing w:after="60" w:before="180"/>
      </w:pPr>
      <w:r>
        <w:rPr>
          <w:b/>
          <w:bCs/>
        </w:rPr>
        <w:t xml:space="preserve">8. Workload scaling does not follow vendor guidance</w:t>
      </w:r>
    </w:p>
    <w:p>
      <w:pPr>
        <w:spacing w:after="120"/>
      </w:pPr>
      <w:r>
        <w:t xml:space="preserve">Core Kindo services are deployed as single replicas with no autoscaling, despite vendor guidance recommending multi-replica and HPA-based scaling. The same applies to several third-party services that are stateless and designed to scale horizontally. Some Zuva workloads are already multi-replica, highlighting that this is a deployment standardization gap, not a technical limitation.</w:t>
      </w:r>
    </w:p>
    <w:p>
      <w:pPr>
        <w:spacing w:after="60" w:before="180"/>
      </w:pPr>
      <w:r>
        <w:rPr>
          <w:b/>
          <w:bCs/>
        </w:rPr>
        <w:t xml:space="preserve">9. No PodDisruptionBudgets in place</w:t>
      </w:r>
    </w:p>
    <w:p>
      <w:pPr>
        <w:spacing w:after="120"/>
      </w:pPr>
      <w:r>
        <w:t xml:space="preserve">There are no PodDisruptionBudgets across the cluster. During routine maintenance such as node drains, all replicas of a service can be evicted at once. Even multi-replica workloads are not protected from disruption.</w:t>
      </w:r>
    </w:p>
    <w:p>
      <w:pPr>
        <w:spacing w:after="60" w:before="180"/>
      </w:pPr>
      <w:r>
        <w:rPr>
          <w:b/>
          <w:bCs/>
        </w:rPr>
        <w:t xml:space="preserve">10. HAProxy configuration drift</w:t>
      </w:r>
    </w:p>
    <w:p>
      <w:pPr>
        <w:spacing w:after="120"/>
      </w:pPr>
      <w:r>
        <w:t xml:space="preserve">The HAProxy configuration is out of date. It references workers that do not exist and omits active ones currently handling ingress. As a result, only part of the cluster receives traffic, and the stats page shows persistent backend failures. Cluster changes are not being reflected in the load balancer configuration.</w:t>
      </w:r>
    </w:p>
    <w:p>
      <w:pPr>
        <w:spacing w:after="60" w:before="180"/>
      </w:pPr>
      <w:r>
        <w:rPr>
          <w:b/>
          <w:bCs/>
        </w:rPr>
        <w:t xml:space="preserve">11. Version drift across nodes</w:t>
      </w:r>
    </w:p>
    <w:p>
      <w:pPr>
        <w:spacing w:after="120"/>
      </w:pPr>
      <w:r>
        <w:t xml:space="preserve">Worker nodes are running mixed RKE2 versions, and kernel versions are not consistent. This leaves the cluster in a partially upgraded state.</w:t>
      </w:r>
    </w:p>
    <w:p>
      <w:pPr>
        <w:spacing w:after="60" w:before="180"/>
      </w:pPr>
      <w:r>
        <w:rPr>
          <w:b/>
          <w:bCs/>
        </w:rPr>
        <w:t xml:space="preserve">12. No GitOps deployment model</w:t>
      </w:r>
    </w:p>
    <w:p>
      <w:pPr>
        <w:spacing w:after="120"/>
      </w:pPr>
      <w:r>
        <w:t xml:space="preserve">All deployments are performed manually via kubectl or Helm. There is no centralized source of truth, no drift detection, no audit trail, and no automated rollback capability. A GitOps pattern already exists in the Hillsborough cluster and could be extended here.</w:t>
      </w:r>
    </w:p>
    <w:p>
      <w:pPr>
        <w:spacing w:after="60" w:before="180"/>
      </w:pPr>
      <w:r>
        <w:rPr>
          <w:b/>
          <w:bCs/>
        </w:rPr>
        <w:t xml:space="preserve">13. NetworkPolicy coverage is minimal</w:t>
      </w:r>
    </w:p>
    <w:p>
      <w:pPr>
        <w:spacing w:after="120"/>
      </w:pPr>
      <w:r>
        <w:t xml:space="preserve">Only the sandbox namespace enforces NetworkPolicy. All other namespaces operate with default-allow behavior. The sandbox implementation demonstrates a strong model that has not been applied elsewhere.</w:t>
      </w:r>
    </w:p>
    <w:p>
      <w:pPr>
        <w:spacing w:after="60" w:before="180"/>
      </w:pPr>
      <w:r>
        <w:rPr>
          <w:b/>
          <w:bCs/>
        </w:rPr>
        <w:t xml:space="preserve">14. Secrets management is not centralized</w:t>
      </w:r>
    </w:p>
    <w:p>
      <w:pPr>
        <w:spacing w:after="120"/>
      </w:pPr>
      <w:r>
        <w:t xml:space="preserve">Secrets are stored as raw Kubernetes Secrets and injected directly into workloads. An External Secrets pattern exists but is not active. The operator is deployed at zero replicas and not reconciling resources. A centralized secrets management approach is expected for production environments.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40" w:before="280"/>
      <w:outlineLvl w:val="1"/>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2026-04-23T20:10:09.819Z</dcterms:created>
  <dcterms:modified xsi:type="dcterms:W3CDTF">2026-04-23T20:10:09.820Z</dcterms:modified>
</cp:coreProperties>
</file>

<file path=docProps/custom.xml><?xml version="1.0" encoding="utf-8"?>
<Properties xmlns="http://schemas.openxmlformats.org/officeDocument/2006/custom-properties" xmlns:vt="http://schemas.openxmlformats.org/officeDocument/2006/docPropsVTypes"/>
</file>