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Kubernetes Cluster Review: Commercial</w:t>
      </w:r>
    </w:p>
    <w:p>
      <w:pPr>
        <w:spacing w:after="320"/>
      </w:pPr>
      <w:r>
        <w:rPr>
          <w:i/>
          <w:iCs/>
          <w:sz w:val="20"/>
          <w:szCs w:val="20"/>
        </w:rPr>
        <w:t xml:space="preserve">Commercial environment. Discovery only, no changes were made to the cluster.</w:t>
      </w:r>
    </w:p>
    <w:p>
      <w:pPr>
        <w:pStyle w:val="Heading2"/>
        <w:spacing w:after="140" w:before="280"/>
      </w:pPr>
      <w:r>
        <w:t xml:space="preserve">Overview</w:t>
      </w:r>
    </w:p>
    <w:p>
      <w:pPr>
        <w:spacing w:after="160"/>
      </w:pPr>
      <w:r>
        <w:t xml:space="preserve">I completed a discovery review of the Commercial Kubernetes cluster (camslc4kb*) using the same approach applied to the Restricted environment cluster. No changes were made during this process.</w:t>
      </w:r>
    </w:p>
    <w:p>
      <w:pPr>
        <w:spacing w:after="160"/>
      </w:pPr>
      <w:r>
        <w:t xml:space="preserve">This cluster runs the same RKE2 platform and same Kindo deployment as the Restricted environment, though without the AITK/Zuva product. Several aspects of this cluster show clear improvements over Restricted: PodDisruptionBudgets are configured on key services, HPAs are in place for task workers and istio, istiod runs HA with three replicas, all nodes are on the same RKE2 version, etcd offsite backups are working, and both Postgres clusters have working CNPG backups.</w:t>
      </w:r>
    </w:p>
    <w:p>
      <w:pPr>
        <w:spacing w:after="160"/>
      </w:pPr>
      <w:r>
        <w:t xml:space="preserve">That said, the cluster carries most of the same gaps as the Restricted environment, and a few things are notably worse here. Almost no ingresses have TLS configured, the Longhorn UI is exposed without authentication, the kindo-secrets Helm release is in a failed state, and the Redis Sentinel pods have been in ImagePullBackOff for 57 days.</w:t>
      </w:r>
    </w:p>
    <w:p>
      <w:pPr>
        <w:pStyle w:val="Heading2"/>
        <w:spacing w:after="140" w:before="280"/>
      </w:pPr>
      <w:r>
        <w:t xml:space="preserve">Priority findings</w:t>
      </w:r>
    </w:p>
    <w:p>
      <w:pPr>
        <w:spacing w:after="60" w:before="180"/>
      </w:pPr>
      <w:r>
        <w:rPr>
          <w:b/>
          <w:bCs/>
        </w:rPr>
        <w:t xml:space="preserve">1. Database administration UI exposed without authentication</w:t>
      </w:r>
    </w:p>
    <w:p>
      <w:pPr>
        <w:spacing w:after="120"/>
      </w:pPr>
      <w:r>
        <w:t xml:space="preserve">pgweb is reachable at pgweb.kbai.ttm.com with no ingress-level authentication configured and no TLS. Same pattern observed in the Restricted environment. A SQL administration console is reachable on the network without access control or encryption.</w:t>
      </w:r>
    </w:p>
    <w:p>
      <w:pPr>
        <w:spacing w:after="60" w:before="180"/>
      </w:pPr>
      <w:r>
        <w:rPr>
          <w:b/>
          <w:bCs/>
        </w:rPr>
        <w:t xml:space="preserve">2. Longhorn UI exposed without authentication</w:t>
      </w:r>
    </w:p>
    <w:p>
      <w:pPr>
        <w:spacing w:after="120"/>
      </w:pPr>
      <w:r>
        <w:t xml:space="preserve">The Longhorn management UI is exposed at longhorn.kbai.ttm.com on plain HTTP with no ingress-level authentication. Anyone reaching the URL has full access to volume management, including delete and detach operations. Note: this exposure was previously raised by the project owner and closed in the Restricted environment, but remains open here.</w:t>
      </w:r>
    </w:p>
    <w:p>
      <w:pPr>
        <w:spacing w:after="60" w:before="180"/>
      </w:pPr>
      <w:r>
        <w:rPr>
          <w:b/>
          <w:bCs/>
        </w:rPr>
        <w:t xml:space="preserve">3. Almost no ingresses have TLS configured</w:t>
      </w:r>
    </w:p>
    <w:p>
      <w:pPr>
        <w:spacing w:after="120"/>
      </w:pPr>
      <w:r>
        <w:t xml:space="preserve">Of fifteen ingresses on the cluster, only three have TLS configuration in their spec (kindo-deps/minio-s3, unleash, unleash-edge). The remaining twelve, including the api, next, ssoready, pgweb, longhorn, nango, and text-embeddings ingresses, serve plain HTTP. The Restricted environment has a DigiCert wildcard certificate deployed across most namespaces; that pattern has not been applied here.</w:t>
      </w:r>
    </w:p>
    <w:p>
      <w:pPr>
        <w:spacing w:after="60" w:before="180"/>
      </w:pPr>
      <w:r>
        <w:rPr>
          <w:b/>
          <w:bCs/>
        </w:rPr>
        <w:t xml:space="preserve">4. Pod-level security enforcement is effectively disabled</w:t>
      </w:r>
    </w:p>
    <w:p>
      <w:pPr>
        <w:spacing w:after="120"/>
      </w:pPr>
      <w:r>
        <w:t xml:space="preserve">Pod Security Admission is configured but set to privileged. Same defanged hardening as the Restricted environment. 64 pods in user namespaces do not enforce non-root execution. ssoready in particular runs all four of its pods as privileged. Same finding, same risk.</w:t>
      </w:r>
    </w:p>
    <w:p>
      <w:pPr>
        <w:spacing w:after="60" w:before="180"/>
      </w:pPr>
      <w:r>
        <w:rPr>
          <w:b/>
          <w:bCs/>
        </w:rPr>
        <w:t xml:space="preserve">5. Backup target for Longhorn is not configured</w:t>
      </w:r>
    </w:p>
    <w:p>
      <w:pPr>
        <w:spacing w:after="120"/>
      </w:pPr>
      <w:r>
        <w:t xml:space="preserve">Longhorn is configured for replication but has no external backup target set. 86 volumes rely solely on three-way replication. Replication protects against node failure but not against data corruption, accidental deletion, or operator error. As with the Restricted environment, Cohesity is the planned backup mechanism for this cluster, and plans to wire that integration in will be shared shortly.</w:t>
      </w:r>
    </w:p>
    <w:p>
      <w:pPr>
        <w:spacing w:after="60" w:before="180"/>
      </w:pPr>
      <w:r>
        <w:rPr>
          <w:b/>
          <w:bCs/>
        </w:rPr>
        <w:t xml:space="preserve">6. Workload scaling does not follow vendor guidance</w:t>
      </w:r>
    </w:p>
    <w:p>
      <w:pPr>
        <w:spacing w:after="120"/>
      </w:pPr>
      <w:r>
        <w:t xml:space="preserve">Core Kindo services are deployed as single replicas with no autoscaling, despite Kindo's deployment documentation recommending multi-replica and HPA-based scaling. The same applies to several third-party services (Cerbos, Hatchet, Presidio) that are stateless and designed to scale horizontally. The cluster does have HPAs in place for task-worker-ts and istio, which shows the pattern is understood; it just hasn't been applied to the Kindo-managed services.</w:t>
      </w:r>
    </w:p>
    <w:p>
      <w:pPr>
        <w:spacing w:after="60" w:before="180"/>
      </w:pPr>
      <w:r>
        <w:rPr>
          <w:b/>
          <w:bCs/>
        </w:rPr>
        <w:t xml:space="preserve">7. LLM model data is not protected</w:t>
      </w:r>
    </w:p>
    <w:p>
      <w:pPr>
        <w:spacing w:after="120"/>
      </w:pPr>
      <w:r>
        <w:t xml:space="preserve">Approximately 580+ GB of model weights for the four inference workloads (deephat-v2, gemma4, glm-flash, qwen3.5) are stored on the GPU node's local disk under paths that suggest Longhorn but are not managed by it. The files are not replicated and not backed up. Loss of the GPU node would require re-downloading large datasets during an outage.</w:t>
      </w:r>
    </w:p>
    <w:p>
      <w:pPr>
        <w:spacing w:after="60" w:before="180"/>
      </w:pPr>
      <w:r>
        <w:rPr>
          <w:b/>
          <w:bCs/>
        </w:rPr>
        <w:t xml:space="preserve">8. Redis Sentinel pods in ImagePullBackOff for 57 days</w:t>
      </w:r>
    </w:p>
    <w:p>
      <w:pPr>
        <w:spacing w:after="120"/>
      </w:pPr>
      <w:r>
        <w:t xml:space="preserve">The redis-sentinel-sentinel StatefulSet has been at 0/3 replicas for 57 days due to ImagePullBackOff. The base Redis StatefulSet is healthy at 3/3, so reads and writes to the current primary continue to work, but Sentinel-driven automatic failover is not functioning. If the Redis primary fails, no automatic election will occur.</w:t>
      </w:r>
    </w:p>
    <w:p>
      <w:pPr>
        <w:spacing w:after="60" w:before="180"/>
      </w:pPr>
      <w:r>
        <w:rPr>
          <w:b/>
          <w:bCs/>
        </w:rPr>
        <w:t xml:space="preserve">9. kindo-secrets Helm release is in failed state</w:t>
      </w:r>
    </w:p>
    <w:p>
      <w:pPr>
        <w:spacing w:after="120"/>
      </w:pPr>
      <w:r>
        <w:t xml:space="preserve">The kindo-secrets Helm release in the kindo-system namespace has been at status failed across multiple revisions. This is a Kindo-managed secrets bootstrap chart and its failure indicates the secrets-management workflow is incomplete. Worth confirming what this chart is intended to do and why it is failing.</w:t>
      </w:r>
    </w:p>
    <w:p>
      <w:pPr>
        <w:spacing w:after="60" w:before="180"/>
      </w:pPr>
      <w:r>
        <w:rPr>
          <w:b/>
          <w:bCs/>
        </w:rPr>
        <w:t xml:space="preserve">10. External Secrets pattern partially in place but inactive</w:t>
      </w:r>
    </w:p>
    <w:p>
      <w:pPr>
        <w:spacing w:after="120"/>
      </w:pPr>
      <w:r>
        <w:t xml:space="preserve">Same pattern as the Restricted environment: ExternalSecret resources may exist but the External Secrets operator is deployed at zero replicas and not reconciling. Secrets across the cluster are stored as raw Kubernetes Secrets and injected directly into workloads. A centralized secrets management approach is expected for production environments.</w:t>
      </w:r>
    </w:p>
    <w:p>
      <w:pPr>
        <w:spacing w:after="60" w:before="180"/>
      </w:pPr>
      <w:r>
        <w:rPr>
          <w:b/>
          <w:bCs/>
        </w:rPr>
        <w:t xml:space="preserve">11. Certificate management is incomplete</w:t>
      </w:r>
    </w:p>
    <w:p>
      <w:pPr>
        <w:spacing w:after="120"/>
      </w:pPr>
      <w:r>
        <w:t xml:space="preserve">cert-manager is installed but not configured with any Issuer or ClusterIssuer. Certificate resources are not being processed. Combined with the TLS gap on most ingresses, the cluster has no automated certificate-handling pipeline today.</w:t>
      </w:r>
    </w:p>
    <w:p>
      <w:pPr>
        <w:spacing w:after="60" w:before="180"/>
      </w:pPr>
      <w:r>
        <w:rPr>
          <w:b/>
          <w:bCs/>
        </w:rPr>
        <w:t xml:space="preserve">12. No GitOps deployment model</w:t>
      </w:r>
    </w:p>
    <w:p>
      <w:pPr>
        <w:spacing w:after="120"/>
      </w:pPr>
      <w:r>
        <w:t xml:space="preserve">All deployments are performed manually via kubectl or Helm. Fleet, Flux, and Argo CD are all absent. The fleet-agent pod present in cattle-fleet-system is the downstream registration agent for Rancher, not a GitOps engine. There is no centralized source of truth, no drift detection, no audit trail, and no automated rollback capability. Flux is already deployed and in use on the Hillsborough Kubernetes cluster, and the same pattern could be extended here.</w:t>
      </w:r>
    </w:p>
    <w:p>
      <w:pPr>
        <w:spacing w:after="60" w:before="180"/>
      </w:pPr>
      <w:r>
        <w:rPr>
          <w:b/>
          <w:bCs/>
        </w:rPr>
        <w:t xml:space="preserve">13. NetworkPolicy coverage is minimal</w:t>
      </w:r>
    </w:p>
    <w:p>
      <w:pPr>
        <w:spacing w:after="120"/>
      </w:pPr>
      <w:r>
        <w:t xml:space="preserve">Only the sandbox namespace enforces meaningful NetworkPolicy. The other 49 namespaces operate with default-allow behavior. The sandbox implementation is well designed (default-deny egress with per-sandbox allow rules) and demonstrates a pattern that could be extended elsewhere.</w:t>
      </w:r>
    </w:p>
    <w:p>
      <w:pPr>
        <w:spacing w:after="60" w:before="180"/>
      </w:pPr>
      <w:r>
        <w:rPr>
          <w:b/>
          <w:bCs/>
        </w:rPr>
        <w:t xml:space="preserve">14. Persistent VolumeFailedDelete events</w:t>
      </w:r>
    </w:p>
    <w:p>
      <w:pPr>
        <w:spacing w:after="120"/>
      </w:pPr>
      <w:r>
        <w:t xml:space="preserve">VolumeFailedDelete events on PVs in the default namespace continue to fire periodically, all citing PVs still attached to camslc4kbw03. The same stuck cleanup loop pattern observed in the Restricted environment. Not service-impacting today but accumulating dirty state.</w:t>
      </w:r>
    </w:p>
    <w:p>
      <w:pPr>
        <w:spacing w:after="60" w:before="180"/>
      </w:pPr>
      <w:r>
        <w:rPr>
          <w:b/>
          <w:bCs/>
        </w:rPr>
        <w:t xml:space="preserve">15. system-upgrade-controller plans are stale</w:t>
      </w:r>
    </w:p>
    <w:p>
      <w:pPr>
        <w:spacing w:after="120"/>
      </w:pPr>
      <w:r>
        <w:t xml:space="preserve">The rke2-master-plan and rke2-worker-plan resources in cattle-system both reference RKE2 v1.34.3 and show as Complete. The cluster is currently running v1.34.4 across all nodes, indicating the cluster was upgraded past v1.34.3 outside of the system-upgrade-controller. Either the controller should be the source of truth and the plan should be updated to the current target, or the manual upgrade process should be documented.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2026-04-29T17:16:56.304Z</dcterms:created>
  <dcterms:modified xsi:type="dcterms:W3CDTF">2026-04-29T17:16:56.304Z</dcterms:modified>
</cp:coreProperties>
</file>

<file path=docProps/custom.xml><?xml version="1.0" encoding="utf-8"?>
<Properties xmlns="http://schemas.openxmlformats.org/officeDocument/2006/custom-properties" xmlns:vt="http://schemas.openxmlformats.org/officeDocument/2006/docPropsVTypes"/>
</file>