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DB201">
      <w:pPr>
        <w:spacing w:before="480" w:after="480" w:line="288" w:lineRule="auto"/>
        <w:ind w:left="0"/>
      </w:pPr>
      <w:bookmarkStart w:id="21" w:name="_GoBack"/>
      <w:bookmarkEnd w:id="21"/>
      <w:r>
        <w:rPr>
          <w:rFonts w:ascii="Arial" w:hAnsi="Arial" w:eastAsia="等线" w:cs="Arial"/>
          <w:b/>
          <w:sz w:val="52"/>
        </w:rPr>
        <w:t>聚力数智底座·释放数据价值——数据中台全面升级专项完整版材料</w:t>
      </w:r>
    </w:p>
    <w:p w14:paraId="11D37CF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一、前言（开篇导语，首页直接用）</w:t>
      </w:r>
      <w:bookmarkEnd w:id="0"/>
    </w:p>
    <w:p w14:paraId="4E9BD9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公司业务规模化扩张、线上业务全域提速，全域数据体量持续暴涨，原有数据中台存在算力瓶颈、数据口径杂乱、孤岛割裂、自助用数能力不足、安全管控薄弱等一系列痛点，难以支撑实时经营研判、精细化业务运营、智能风险防控、全域数字化决策等新型业务诉求。</w:t>
      </w:r>
    </w:p>
    <w:p w14:paraId="7BFDE5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为夯实全域数字化底座，打通全链路数据壁垒，盘活全域数据资产，赋能一线业务降本提效，公司完成</w:t>
      </w:r>
      <w:r>
        <w:rPr>
          <w:rFonts w:ascii="Arial" w:hAnsi="Arial" w:eastAsia="等线" w:cs="Arial"/>
          <w:b/>
          <w:sz w:val="22"/>
        </w:rPr>
        <w:t>新一代数据中台全域版本升级改造</w:t>
      </w:r>
      <w:r>
        <w:rPr>
          <w:rFonts w:ascii="Arial" w:hAnsi="Arial" w:eastAsia="等线" w:cs="Arial"/>
          <w:sz w:val="22"/>
        </w:rPr>
        <w:t>。本次升级立足底层基建、数据治理、服务能力、智能应用、安全运维五大板块全方位重构，实现数据统一汇聚、统一治理、统一服务、统一管控，推动企业数字化建设从</w:t>
      </w:r>
      <w:r>
        <w:rPr>
          <w:rFonts w:ascii="Arial" w:hAnsi="Arial" w:eastAsia="等线" w:cs="Arial"/>
          <w:b/>
          <w:sz w:val="22"/>
        </w:rPr>
        <w:t>数据归集阶段</w:t>
      </w:r>
      <w:r>
        <w:rPr>
          <w:rFonts w:ascii="Arial" w:hAnsi="Arial" w:eastAsia="等线" w:cs="Arial"/>
          <w:sz w:val="22"/>
        </w:rPr>
        <w:t>迈向</w:t>
      </w:r>
      <w:r>
        <w:rPr>
          <w:rFonts w:ascii="Arial" w:hAnsi="Arial" w:eastAsia="等线" w:cs="Arial"/>
          <w:b/>
          <w:sz w:val="22"/>
        </w:rPr>
        <w:t>数据资产化、服务智能化、价值业务化</w:t>
      </w:r>
      <w:r>
        <w:rPr>
          <w:rFonts w:ascii="Arial" w:hAnsi="Arial" w:eastAsia="等线" w:cs="Arial"/>
          <w:sz w:val="22"/>
        </w:rPr>
        <w:t>全新阶段，全面赋能公司高质量数字化转型。</w:t>
      </w:r>
    </w:p>
    <w:p w14:paraId="6110DF2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2F9DC6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二、现状痛点：旧版中台现存核心短板</w:t>
      </w:r>
      <w:bookmarkEnd w:id="1"/>
    </w:p>
    <w:p w14:paraId="44951534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系统底座承压，算力无法适配实时业务需求</w:t>
      </w:r>
      <w:bookmarkEnd w:id="2"/>
    </w:p>
    <w:p w14:paraId="1B6C89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有计算存储架构老旧，批处理任务运行缓慢，海量多源数据同步延迟高；无法支撑实时大屏、实时订单监测、实时客流风控等高频即时业务场景，高峰时段报表卡顿、任务排队超时问题频发，技术运维压力居高不下。</w:t>
      </w:r>
    </w:p>
    <w:p w14:paraId="7E504FEB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系统烟囱林立，全域数据孤岛无法打通</w:t>
      </w:r>
      <w:bookmarkEnd w:id="3"/>
    </w:p>
    <w:p w14:paraId="3C5971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生产、营销、运维、人力、供应链等多套业务系统独立运行，数据分散存储、互不互通；线下Excel手工对账、跨部门反复取数成为常态，沟通成本高、数据一致性差，难以形成全域统一的数据视图。</w:t>
      </w:r>
    </w:p>
    <w:p w14:paraId="61734696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 标准体系缺失，数据口径混乱不可信</w:t>
      </w:r>
      <w:bookmarkEnd w:id="4"/>
    </w:p>
    <w:p w14:paraId="086A7D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经营指标无统一规范，同一项营收、客流、成本指标，不同部门统计口径不一致，出现“一数多义、数出多门”问题；缺少自动化数据质检能力，脏数据、冗余数据、缺失数据无法及时识别，数据可信度不足。</w:t>
      </w:r>
    </w:p>
    <w:p w14:paraId="0EA61372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 用数门槛偏高，业务自主分析能力不足</w:t>
      </w:r>
      <w:bookmarkEnd w:id="5"/>
    </w:p>
    <w:p w14:paraId="02D556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以往全部取数、做报表、多维分析工作均依赖IT技术人员，需求排队周期长；业务人员无法自主拖拽分析、自助查询指标，数据响应速度跟不上一线业务快速迭代节奏。</w:t>
      </w:r>
    </w:p>
    <w:p w14:paraId="7907EC6A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5. 安全权限粗放，全链路数据风控存在隐患</w:t>
      </w:r>
      <w:bookmarkEnd w:id="6"/>
    </w:p>
    <w:p w14:paraId="18A02E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数据分级分类不完善，敏感数据缺少自动脱敏能力；数据访问、数据导出、接口调用权限管控粒度较粗，缺少完整操作血缘审计日志，无法满足内部合规审计及行业数据安全合规要求。</w:t>
      </w:r>
    </w:p>
    <w:p w14:paraId="5FC2E36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BAB1FF2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三、本次中台升级总体目标</w:t>
      </w:r>
      <w:bookmarkEnd w:id="7"/>
    </w:p>
    <w:p w14:paraId="6DE2AE5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底座更稳</w:t>
      </w:r>
      <w:r>
        <w:rPr>
          <w:rFonts w:ascii="Arial" w:hAnsi="Arial" w:eastAsia="等线" w:cs="Arial"/>
          <w:sz w:val="22"/>
        </w:rPr>
        <w:t>：升级云原生弹性算力架构，兼顾离线批量计算+实时流式计算，全域算力性能大幅提升，新增多模态数据统一接入能力，从容应对数据峰值压力与图文、音视频等非结构化数据处理需求；</w:t>
      </w:r>
    </w:p>
    <w:p w14:paraId="504C054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数据更准</w:t>
      </w:r>
      <w:r>
        <w:rPr>
          <w:rFonts w:ascii="Arial" w:hAnsi="Arial" w:eastAsia="等线" w:cs="Arial"/>
          <w:sz w:val="22"/>
        </w:rPr>
        <w:t>：搭建全域统一数据标准与指标体系，全流程自动化数据质检清洗，实现一数一义、一数通用，同步补齐非结构化多模态数据治理规范；</w:t>
      </w:r>
    </w:p>
    <w:p w14:paraId="2FDAFC8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互通更畅</w:t>
      </w:r>
      <w:r>
        <w:rPr>
          <w:rFonts w:ascii="Arial" w:hAnsi="Arial" w:eastAsia="等线" w:cs="Arial"/>
          <w:sz w:val="22"/>
        </w:rPr>
        <w:t>：全域业务系统一站式接入，消除数据孤岛，构建企业全域统一数据资产全景地图，覆盖结构化、半结构化、多模态全类型数据资产；</w:t>
      </w:r>
    </w:p>
    <w:p w14:paraId="0ACA50E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用数更快</w:t>
      </w:r>
      <w:r>
        <w:rPr>
          <w:rFonts w:ascii="Arial" w:hAnsi="Arial" w:eastAsia="等线" w:cs="Arial"/>
          <w:sz w:val="22"/>
        </w:rPr>
        <w:t>：下放自助分析能力，低代码可视化报表全覆盖，支持多模态数据融合分析，让业务人员看得懂、能用好、快用数；</w:t>
      </w:r>
    </w:p>
    <w:p w14:paraId="219DE0B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管控更严</w:t>
      </w:r>
      <w:r>
        <w:rPr>
          <w:rFonts w:ascii="Arial" w:hAnsi="Arial" w:eastAsia="等线" w:cs="Arial"/>
          <w:sz w:val="22"/>
        </w:rPr>
        <w:t>：构建零信任全链路数据安全防护、精细化权限管控、完整操作审计，新增多模态内容安全检测能力，筑牢全域数据安全合规防线；</w:t>
      </w:r>
    </w:p>
    <w:p w14:paraId="2958F72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价值更强</w:t>
      </w:r>
      <w:r>
        <w:rPr>
          <w:rFonts w:ascii="Arial" w:hAnsi="Arial" w:eastAsia="等线" w:cs="Arial"/>
          <w:sz w:val="22"/>
        </w:rPr>
        <w:t>：数据深度反哺业务，支撑经营决策、智能预警、业务复盘、风险防控全场景落地，实现结构化业务数据+多模态内容数据协同赋能，让数据真正驱动业务增长。</w:t>
      </w:r>
    </w:p>
    <w:p w14:paraId="6DF2E34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425038C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四、五大核心升级内容（核心正文，汇报重点）</w:t>
      </w:r>
      <w:bookmarkEnd w:id="8"/>
    </w:p>
    <w:p w14:paraId="2274C725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（一）算力底座升级：云原生架构重构，冷热数据分层降本增效</w:t>
      </w:r>
      <w:bookmarkEnd w:id="9"/>
    </w:p>
    <w:p w14:paraId="003B27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面迭代底层大数据引擎，完成集群扩容与架构云原生改造，拆分实时计算、离线计算双引擎，适配不同业务时效需求。搭建冷热数据分层存储机制，高频业务热数据快速响应查询，历史归档冷数据低成本归档存储，在保障查询性能不变的前提下，有效降低整体存储资源成本。</w:t>
      </w:r>
      <w:r>
        <w:rPr>
          <w:rFonts w:ascii="Arial" w:hAnsi="Arial" w:eastAsia="等线" w:cs="Arial"/>
          <w:b/>
          <w:sz w:val="22"/>
        </w:rPr>
        <w:t>新增多模态数据处理引擎</w:t>
      </w:r>
      <w:r>
        <w:rPr>
          <w:rFonts w:ascii="Arial" w:hAnsi="Arial" w:eastAsia="等线" w:cs="Arial"/>
          <w:sz w:val="22"/>
        </w:rPr>
        <w:t>，打破传统中台仅支持结构化业务数据的局限，全面兼容图片、语音、视频、文档、日志文本、物联网时序数据等半结构化、非结构化多模态数据，实现业务表单数据、现场巡检图片、客服通话录音、监控视频、线上工单文档等全域数据统一采集、统一解析、统一入湖，补齐非结构化数据治理短板。同时适配数据库、日志、物联网设备、第三方外部接口等全类型异构数据源，实现全域数据免开发快速接入。</w:t>
      </w:r>
    </w:p>
    <w:p w14:paraId="66DA84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升级成效</w:t>
      </w:r>
      <w:r>
        <w:rPr>
          <w:rFonts w:ascii="Arial" w:hAnsi="Arial" w:eastAsia="等线" w:cs="Arial"/>
          <w:sz w:val="22"/>
        </w:rPr>
        <w:t>：数据同步延迟从分钟级压缩至秒级，报表运算效率提升60%以上，整体存储资源成本下降30%；实现全品类多模态数据一站式汇聚，非结构化数据接入适配成本降低45%，满足可视化巡检、客服语音分析、视频风控等多模态业务分析场景。</w:t>
      </w:r>
    </w:p>
    <w:p w14:paraId="023EF90F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（二）数据治理升级：全链路标准化治理，打造可信数据资产</w:t>
      </w:r>
      <w:bookmarkEnd w:id="10"/>
    </w:p>
    <w:p w14:paraId="05D6E9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搭建企业级主数据、元数据、指标标准体系，统一全域业务统计口径，固化核心经营指标、业务指标、管理指标上千项标准字典。上线自动化数据质量平台，支持完整性、一致性、唯一性、及时性四大维度自动巡检，异常数据自动告警、自动修复+人工复核闭环处理。同步完善完整数据血缘图谱，清晰追溯数据从源头采集、加工、输出、应用全链路流转关系，快速定位数据问题根源。</w:t>
      </w:r>
    </w:p>
    <w:p w14:paraId="24CCAF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升级成效</w:t>
      </w:r>
      <w:r>
        <w:rPr>
          <w:rFonts w:ascii="Arial" w:hAnsi="Arial" w:eastAsia="等线" w:cs="Arial"/>
          <w:sz w:val="22"/>
        </w:rPr>
        <w:t>：彻底解决一数多源、口径不一问题，数据整体质量合格率提升至99.5%，数据问题排查效率提升70%。</w:t>
      </w:r>
    </w:p>
    <w:p w14:paraId="628AC855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（三）数据资产升级：资产全景可视，全域数据按需检索</w:t>
      </w:r>
      <w:bookmarkEnd w:id="11"/>
    </w:p>
    <w:p w14:paraId="13F03A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线智能化数据资产门户，自动盘点全域数据表、数据指标、数据API、可视化报表，形成一站式企业数据资产目录。支持关键词智能检索、标签分类筛选、资产热度排行，业务人员可自主查询所需数据资源。同步优化数据服务接口，标准化对外开放统一API数据服务，业务系统可快速对接调用数据能力，无需重复开发取数逻辑。</w:t>
      </w:r>
    </w:p>
    <w:p w14:paraId="57D48290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（四）自助服务升级：低代码自助分析，大幅释放IT人力压力</w:t>
      </w:r>
      <w:bookmarkEnd w:id="12"/>
    </w:p>
    <w:p w14:paraId="1728B3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载全新自助BI可视化分析平台，无需编写代码，业务人员通过拖拽即可自主制作经营报表、业务看板、多维数据分析图表。平台内置模板市场，覆盖经营分析、营销复盘、运维监控、人力考勤、供应链盘点等全套通用报表模板，一键复用快速搭建看板。实现简单取数看数业务自助完成，复杂专项分析由中台支撑，分层分流降低IT工单压力。</w:t>
      </w:r>
    </w:p>
    <w:p w14:paraId="2E55CA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升级成效</w:t>
      </w:r>
      <w:r>
        <w:rPr>
          <w:rFonts w:ascii="Arial" w:hAnsi="Arial" w:eastAsia="等线" w:cs="Arial"/>
          <w:sz w:val="22"/>
        </w:rPr>
        <w:t>：日常取数工单减少55%，业务报表交付周期从1-3天缩短至分钟级。</w:t>
      </w:r>
    </w:p>
    <w:p w14:paraId="139B7088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（五）安全运维升级：全流程安全审计，合规可控全域防护</w:t>
      </w:r>
      <w:bookmarkEnd w:id="13"/>
    </w:p>
    <w:p w14:paraId="569F0E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本次升级全面重构数据安全体系，从基础脱敏、权限管控升级为</w:t>
      </w:r>
      <w:r>
        <w:rPr>
          <w:rFonts w:ascii="Arial" w:hAnsi="Arial" w:eastAsia="等线" w:cs="Arial"/>
          <w:b/>
          <w:sz w:val="22"/>
        </w:rPr>
        <w:t>零信任全域数据安全架构</w:t>
      </w:r>
      <w:r>
        <w:rPr>
          <w:rFonts w:ascii="Arial" w:hAnsi="Arial" w:eastAsia="等线" w:cs="Arial"/>
          <w:sz w:val="22"/>
        </w:rPr>
        <w:t>，覆盖结构化业务数据与多模态非结构化数据全场景安全防护，构建事前预防、事中管控、事后审计的全生命周期安全闭环。一是完善数据分级分类体系，细化公开、内部、敏感、绝密四级数据标准，同时针对图片、音视频、合同文档等多模态数据新增专属分级规则；二是强化敏感数据全链路脱敏，结构化字段自动脱敏之外，新增图片隐私打码、语音敏感内容识别、文档关键词脱敏能力，覆盖全类型敏感信息防护；三是落地最小权限零信任访问，采用动态权限校验、设备可信核验、访问行为风控三重机制，杜绝越权访问、非法爬取数据行为；四是搭建全域安全审计平台，完整记录结构化数据查询、接口调用、多模态文件下载、内容预览等全部操作行为，支持日志溯源、风险行为自动告警；五是新增AI多模态内容安全检测，自动识别违规图文、涉敏音视频内容，从源头防范内部数据外泄与违规内容流转风险，全方位满足行业监管、等保合规及企业内部数据安全管控要求。</w:t>
      </w:r>
    </w:p>
    <w:p w14:paraId="2ECB10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升级成效</w:t>
      </w:r>
      <w:r>
        <w:rPr>
          <w:rFonts w:ascii="Arial" w:hAnsi="Arial" w:eastAsia="等线" w:cs="Arial"/>
          <w:sz w:val="22"/>
        </w:rPr>
        <w:t>：实现全域数据安全无死角防护，数据违规访问、外泄风险降低90%，一次性满足等保2.0及行业数据安全合规要求，多模态敏感内容识别准确率达98%以上。</w:t>
      </w:r>
    </w:p>
    <w:p w14:paraId="488ED00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4798415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五、升级整体价值与业务赋能成果</w:t>
      </w:r>
      <w:bookmarkEnd w:id="14"/>
    </w:p>
    <w:p w14:paraId="354652ED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1. 管理价值：决策更科学</w:t>
      </w:r>
      <w:bookmarkEnd w:id="15"/>
    </w:p>
    <w:p w14:paraId="54B539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全域统一真实数据支撑高层经营研判，告别经验决策、片面数据决策，实现用数据说话、用数据管理、用数据决策。</w:t>
      </w:r>
    </w:p>
    <w:p w14:paraId="32018F71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2. 业务价值：运营更精细</w:t>
      </w:r>
      <w:bookmarkEnd w:id="16"/>
    </w:p>
    <w:p w14:paraId="312EDC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实时监控业务全流程动态，提前识别业务波动、经营风险，实现事后复盘向事中监控、事前预警转变，助力营销精准运营、供应链高效调度、风险前置防控。</w:t>
      </w:r>
    </w:p>
    <w:p w14:paraId="2E3DDAFE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 效率价值：内外双提效</w:t>
      </w:r>
      <w:bookmarkEnd w:id="17"/>
    </w:p>
    <w:p w14:paraId="3FDC1B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减少跨部门对账沟通成本，减少IT重复开发工作量，整体数字化办公流程全面提速，释放技术人力聚焦数字化创新建设。</w:t>
      </w:r>
    </w:p>
    <w:p w14:paraId="23B39D71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4. 底座价值：支撑未来拓展</w:t>
      </w:r>
      <w:bookmarkEnd w:id="18"/>
    </w:p>
    <w:p w14:paraId="4B042C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新一代中台具备良好横向扩展能力，可无缝承接后续AI数据分析、智能预测模型、全域数字孪生大屏等后续数智化新项目，筑牢长期数字化底座。</w:t>
      </w:r>
    </w:p>
    <w:p w14:paraId="3C8CFD7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C78EAD5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六、后续规划</w:t>
      </w:r>
      <w:bookmarkEnd w:id="19"/>
    </w:p>
    <w:p w14:paraId="1C37AD1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持续优化AI智能分析能力，上线指标智能异动归因、业务智能预测功能，深化多模态数据融合分析能力，打通结构化指标与音视频、图片数据联动分析能力；</w:t>
      </w:r>
    </w:p>
    <w:p w14:paraId="5906E7E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深化一线业务场景贴合度，定制更多行业专属业务分析模板；</w:t>
      </w:r>
    </w:p>
    <w:p w14:paraId="68ABF08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推进数据文化普及，常态化开展全员用数培训，让数据能力下沉至每一个业务岗位；</w:t>
      </w:r>
    </w:p>
    <w:p w14:paraId="0B7E61F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持续迭代零信任安全管控策略与多模态内容安全检测模型，紧跟最新数据合规要求，动态完善全域数据安全防护体系，筑牢结构化+多模态双维度数据安全防线。</w:t>
      </w:r>
    </w:p>
    <w:p w14:paraId="7E3E72C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228E2AE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七、宣传短文案（适配海报、公众号封面、展板、横幅）</w:t>
      </w:r>
      <w:bookmarkEnd w:id="20"/>
    </w:p>
    <w:p w14:paraId="29A0FD7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中台焕新升级，数据赋能全域，数智驱动高质量发展</w:t>
      </w:r>
    </w:p>
    <w:p w14:paraId="63145A0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筑牢数据新底座，激活数据新动能，构建全域一体化数据中枢</w:t>
      </w:r>
    </w:p>
    <w:p w14:paraId="4A607A3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破孤岛、统一口径、提算力、强安全，新一代数据中台正式上线</w:t>
      </w:r>
    </w:p>
    <w:p w14:paraId="352AC1F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让数据看得见、管得住、用得好，以数智化赋能业务全域增长</w:t>
      </w:r>
    </w:p>
    <w:p w14:paraId="33892F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C64D2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E738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F4F70F"/>
    <w:multiLevelType w:val="singleLevel"/>
    <w:tmpl w:val="A5F4F70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AFE95271"/>
    <w:multiLevelType w:val="singleLevel"/>
    <w:tmpl w:val="AFE952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BEFCD657"/>
    <w:multiLevelType w:val="singleLevel"/>
    <w:tmpl w:val="BEFCD65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BF7D50BF"/>
    <w:multiLevelType w:val="singleLevel"/>
    <w:tmpl w:val="BF7D50B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BFBF9142"/>
    <w:multiLevelType w:val="singleLevel"/>
    <w:tmpl w:val="BFBF914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DFD003AC"/>
    <w:multiLevelType w:val="singleLevel"/>
    <w:tmpl w:val="DFD003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E77F6359"/>
    <w:multiLevelType w:val="singleLevel"/>
    <w:tmpl w:val="E77F6359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7">
    <w:nsid w:val="F83FE4AB"/>
    <w:multiLevelType w:val="singleLevel"/>
    <w:tmpl w:val="F83FE4A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">
    <w:nsid w:val="FCDA162A"/>
    <w:multiLevelType w:val="singleLevel"/>
    <w:tmpl w:val="FCDA162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">
    <w:nsid w:val="FD7CA430"/>
    <w:multiLevelType w:val="singleLevel"/>
    <w:tmpl w:val="FD7CA43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">
    <w:nsid w:val="FEEF64AA"/>
    <w:multiLevelType w:val="singleLevel"/>
    <w:tmpl w:val="FEEF64AA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1">
    <w:nsid w:val="FFFB25E1"/>
    <w:multiLevelType w:val="singleLevel"/>
    <w:tmpl w:val="FFFB25E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3D3BF190"/>
    <w:multiLevelType w:val="singleLevel"/>
    <w:tmpl w:val="3D3BF190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3">
    <w:nsid w:val="73776B19"/>
    <w:multiLevelType w:val="singleLevel"/>
    <w:tmpl w:val="73776B19"/>
    <w:lvl w:ilvl="0" w:tentative="0">
      <w:start w:val="6"/>
      <w:numFmt w:val="decimal"/>
      <w:lvlText w:val="%1."/>
      <w:lvlJc w:val="left"/>
      <w:rPr>
        <w:color w:val="3370FF"/>
      </w:r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1"/>
  </w:num>
  <w:num w:numId="5">
    <w:abstractNumId w:val="8"/>
  </w:num>
  <w:num w:numId="6">
    <w:abstractNumId w:val="13"/>
  </w:num>
  <w:num w:numId="7">
    <w:abstractNumId w:val="7"/>
  </w:num>
  <w:num w:numId="8">
    <w:abstractNumId w:val="10"/>
  </w:num>
  <w:num w:numId="9">
    <w:abstractNumId w:val="12"/>
  </w:num>
  <w:num w:numId="10">
    <w:abstractNumId w:val="6"/>
  </w:num>
  <w:num w:numId="11">
    <w:abstractNumId w:val="5"/>
  </w:num>
  <w:num w:numId="12">
    <w:abstractNumId w:val="3"/>
  </w:num>
  <w:num w:numId="13">
    <w:abstractNumId w:val="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FA1C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Office_12.1.25880.25880_F1E327BC-269C-435d-A152-05C5408002CA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2026-06-17T10:48:00Z</dcterms:created>
  <dc:creator>Apache POI</dc:creator>
  <cp:lastModifiedBy>liangxin wan</cp:lastModifiedBy>
  <dcterms:modified xsi:type="dcterms:W3CDTF">2026-06-17T10:48:51Z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{"Label":"1","ContentProducer":"001191110102MACQD9K64010000","ProduceID":"7652190724343680217","ReservedCode1":"","ContentPropagator":"","PropagateID":"","ReservedCode2":""}</vt:lpwstr>
  </property>
  <property fmtid="{D5CDD505-2E9C-101B-9397-08002B2CF9AE}" pid="3" name="KSOProductBuildVer">
    <vt:lpwstr>2052-12.1.25880.25880</vt:lpwstr>
  </property>
  <property fmtid="{D5CDD505-2E9C-101B-9397-08002B2CF9AE}" pid="4" name="ICV">
    <vt:lpwstr>0F62CFB282945444130B326A4F0DC655_42</vt:lpwstr>
  </property>
</Properties>
</file>