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60"/>
      </w:pPr>
      <w:r>
        <w:rPr>
          <w:rFonts w:ascii="Georgia" w:cs="Georgia" w:eastAsia="Georgia" w:hAnsi="Georgia"/>
          <w:b/>
          <w:bCs/>
          <w:color w:val="1F4E79"/>
          <w:sz w:val="56"/>
          <w:szCs w:val="56"/>
        </w:rPr>
        <w:t xml:space="preserve">Radius Area Methodology</w:t>
      </w:r>
    </w:p>
    <w:p>
      <w:pPr>
        <w:spacing w:before="0" w:after="80"/>
      </w:pPr>
      <w:r>
        <w:rPr>
          <w:rFonts w:ascii="Calibri" w:cs="Calibri" w:eastAsia="Calibri" w:hAnsi="Calibri"/>
          <w:i/>
          <w:iCs/>
          <w:color w:val="5a6a7a"/>
          <w:sz w:val="24"/>
          <w:szCs w:val="24"/>
        </w:rPr>
        <w:t xml:space="preserve">How the Demographics Radius Tool Defines and Captures Population Data for 1, 5, and 10-Mile Radii</w:t>
      </w:r>
    </w:p>
    <w:p>
      <w:pPr>
        <w:spacing w:before="0" w:after="480"/>
      </w:pPr>
      <w:r>
        <w:rPr>
          <w:rFonts w:ascii="Calibri" w:cs="Calibri" w:eastAsia="Calibri" w:hAnsi="Calibri"/>
          <w:color w:val="aaaaaa"/>
          <w:sz w:val="18"/>
          <w:szCs w:val="18"/>
        </w:rPr>
        <w:t xml:space="preserve">Demographics Radius Tool  •  Version 2.0  •  March 2026</w:t>
      </w:r>
    </w:p>
    <w:p>
      <w:pPr>
        <w:pStyle w:val="Heading1"/>
        <w:pBdr>
          <w:bottom w:val="single" w:color="1F4E79" w:sz="6" w:space="1"/>
        </w:pBdr>
        <w:spacing w:before="360" w:after="160"/>
      </w:pPr>
      <w:r>
        <w:rPr>
          <w:rFonts w:ascii="Georgia" w:cs="Georgia" w:eastAsia="Georgia" w:hAnsi="Georgia"/>
          <w:b/>
          <w:bCs/>
          <w:color w:val="1F4E79"/>
          <w:sz w:val="32"/>
          <w:szCs w:val="32"/>
        </w:rPr>
        <w:t xml:space="preserve">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Date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March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Initial release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March 2026</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Updated geocoder fallback (Nominatim added); TIGER fetch now uses paginated requests with 8-second timeout; added three-tier fallback chain for block group filtering; poverty variable changed from B17001 to C17002; weighted median income corrected to use household count weighting; added 2024 ACS year; updated rural area behavior documentation</w:t>
            </w:r>
          </w:p>
        </w:tc>
      </w:tr>
    </w:tbl>
    <w:p>
      <w:pPr>
        <w:spacing w:before="160" w:after="0"/>
      </w:pPr>
      <w:r>
        <w:t xml:space="preserve"/>
      </w:r>
    </w:p>
    <w:p>
      <w:pPr>
        <w:pStyle w:val="Heading1"/>
        <w:pBdr>
          <w:bottom w:val="single" w:color="1F4E79" w:sz="6" w:space="1"/>
        </w:pBdr>
        <w:spacing w:before="360" w:after="160"/>
      </w:pPr>
      <w:r>
        <w:rPr>
          <w:rFonts w:ascii="Georgia" w:cs="Georgia" w:eastAsia="Georgia" w:hAnsi="Georgia"/>
          <w:b/>
          <w:bCs/>
          <w:color w:val="1F4E79"/>
          <w:sz w:val="32"/>
          <w:szCs w:val="32"/>
        </w:rPr>
        <w:t xml:space="preserve">1. Overview</w:t>
      </w:r>
    </w:p>
    <w:p>
      <w:pPr>
        <w:spacing w:before="60" w:after="80"/>
      </w:pPr>
      <w:r>
        <w:rPr>
          <w:rFonts w:ascii="Calibri" w:cs="Calibri" w:eastAsia="Calibri" w:hAnsi="Calibri"/>
          <w:sz w:val="20"/>
          <w:szCs w:val="20"/>
        </w:rPr>
        <w:t xml:space="preserve">The Demographics Radius Tool allows users to enter any U.S. address and retrieve American Community Survey (ACS) demographic data for the surrounding population within a selected radius of 1, 5, or 10 miles. Because Census data is published for fixed geographic boundaries rather than arbitrary circles, the tool uses a multi-step spatial methodology to approximate the population living within each radius.</w:t>
      </w:r>
    </w:p>
    <w:p>
      <w:pPr>
        <w:spacing w:before="80" w:after="0"/>
      </w:pPr>
      <w:r>
        <w:t xml:space="preserve"/>
      </w:r>
    </w:p>
    <w:p>
      <w:pPr>
        <w:spacing w:before="60" w:after="80"/>
      </w:pPr>
      <w:r>
        <w:rPr>
          <w:rFonts w:ascii="Calibri" w:cs="Calibri" w:eastAsia="Calibri" w:hAnsi="Calibri"/>
          <w:sz w:val="20"/>
          <w:szCs w:val="20"/>
        </w:rPr>
        <w:t xml:space="preserve">This document describes that methodology in plain language, explains the data sources used, and notes the known limitations of each approach.</w:t>
      </w:r>
    </w:p>
    <w:p>
      <w:pPr>
        <w:spacing w:before="160" w:after="0"/>
      </w:pPr>
      <w:r>
        <w:t xml:space="preserve"/>
      </w:r>
    </w:p>
    <w:p>
      <w:pPr>
        <w:pStyle w:val="Heading1"/>
        <w:pBdr>
          <w:bottom w:val="single" w:color="1F4E79" w:sz="6" w:space="1"/>
        </w:pBdr>
        <w:spacing w:before="360" w:after="160"/>
      </w:pPr>
      <w:r>
        <w:rPr>
          <w:rFonts w:ascii="Georgia" w:cs="Georgia" w:eastAsia="Georgia" w:hAnsi="Georgia"/>
          <w:b/>
          <w:bCs/>
          <w:color w:val="1F4E79"/>
          <w:sz w:val="32"/>
          <w:szCs w:val="32"/>
        </w:rPr>
        <w:t xml:space="preserve">2. Data Sources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What It Provides</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Cost /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U.S. Census Bureau Geocoder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Primary geocoder: converts a street address into latitude/longitude coordinates and identifies the county and city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Free, no API key required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OpenStreetMap / Nominatim</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Fallback geocoder used automatically when the Census geocoder cannot match an address (e.g., rural roads, new streets)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Free, open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Census TIGER/Line Database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Actual polygon boundaries and official interior points for every Census block group. Fetched in paginated batches of 500 with an 8-second timeout per page.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Free via Census REST API</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Census Geocoder — Block Group Lookup</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Fallback source of block group interior points if the TIGER polygon fetch fails or times out</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Free, no API key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ACS 5-Year Estimates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Demographic data (age, race, income, poverty, education) at the block group level. Available for years 2013–2024.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Free with Census API key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CARTO / OpenStreetMap Tiles</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Base map displayed to the user</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Free</w:t>
            </w:r>
          </w:p>
        </w:tc>
      </w:tr>
    </w:tbl>
    <w:p>
      <w:pPr>
        <w:spacing w:before="160" w:after="0"/>
      </w:pPr>
      <w:r>
        <w:t xml:space="preserve"/>
      </w:r>
    </w:p>
    <w:p>
      <w:pPr>
        <w:pStyle w:val="Heading1"/>
        <w:pBdr>
          <w:bottom w:val="single" w:color="1F4E79" w:sz="6" w:space="1"/>
        </w:pBdr>
        <w:spacing w:before="360" w:after="160"/>
      </w:pPr>
      <w:r>
        <w:rPr>
          <w:rFonts w:ascii="Georgia" w:cs="Georgia" w:eastAsia="Georgia" w:hAnsi="Georgia"/>
          <w:b/>
          <w:bCs/>
          <w:color w:val="1F4E79"/>
          <w:sz w:val="32"/>
          <w:szCs w:val="32"/>
        </w:rPr>
        <w:t xml:space="preserve">3. How a Radius Query Works: Step by Step</w:t>
      </w:r>
    </w:p>
    <w:p>
      <w:pPr>
        <w:spacing w:before="60" w:after="80"/>
      </w:pPr>
      <w:r>
        <w:rPr>
          <w:rFonts w:ascii="Calibri" w:cs="Calibri" w:eastAsia="Calibri" w:hAnsi="Calibri"/>
          <w:sz w:val="20"/>
          <w:szCs w:val="20"/>
        </w:rPr>
        <w:t xml:space="preserve">When a user enters an address, selects a radius, and clicks “Get Demographics,” the tool executes the following steps in sequence:</w:t>
      </w:r>
    </w:p>
    <w:p>
      <w:pPr>
        <w:spacing w:before="80" w:after="0"/>
      </w:pPr>
      <w:r>
        <w:t xml:space="preserve"/>
      </w:r>
    </w:p>
    <w:p>
      <w:pPr>
        <w:spacing w:before="200" w:after="80"/>
      </w:pPr>
      <w:r>
        <w:rPr>
          <w:rFonts w:ascii="Calibri" w:cs="Calibri" w:eastAsia="Calibri" w:hAnsi="Calibri"/>
          <w:b/>
          <w:bCs/>
          <w:color w:val="1F4E79"/>
          <w:sz w:val="22"/>
          <w:szCs w:val="22"/>
        </w:rPr>
        <w:t xml:space="preserve">Step 1 — Geocode the Address</w:t>
      </w:r>
    </w:p>
    <w:p>
      <w:pPr>
        <w:spacing w:before="60" w:after="80"/>
      </w:pPr>
      <w:r>
        <w:rPr>
          <w:rFonts w:ascii="Calibri" w:cs="Calibri" w:eastAsia="Calibri" w:hAnsi="Calibri"/>
          <w:sz w:val="20"/>
          <w:szCs w:val="20"/>
        </w:rPr>
        <w:t xml:space="preserve">The entered address is first sent to the U.S. Census Bureau Geocoder. If the Census geocoder cannot match the address — which is common for rural roads, recently built streets, or informal address formats — the tool automatically falls back to the Nominatim geocoder powered by OpenStreetMap. Both geocoders are free and require no additional API keys.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F0F7FF" w:val="clear"/>
            <w:tcMar>
              <w:top w:type="dxa" w:w="120"/>
              <w:left w:type="dxa" w:w="200"/>
              <w:bottom w:type="dxa" w:w="120"/>
              <w:right w:type="dxa" w:w="200"/>
            </w:tcMar>
          </w:tcPr>
          <w:p>
            <w:pPr>
              <w:spacing w:after="60"/>
            </w:pPr>
            <w:r>
              <w:rPr>
                <w:rFonts w:ascii="Calibri" w:cs="Calibri" w:eastAsia="Calibri" w:hAnsi="Calibri"/>
                <w:b/>
                <w:bCs/>
                <w:color w:val="1F4E79"/>
                <w:sz w:val="20"/>
                <w:szCs w:val="20"/>
              </w:rPr>
              <w:t xml:space="preserve">Example: Rural Address Fallback</w:t>
            </w:r>
          </w:p>
          <w:p>
            <w:pPr>
              <w:spacing w:after="0"/>
            </w:pPr>
            <w:r>
              <w:rPr>
                <w:rFonts w:ascii="Calibri" w:cs="Calibri" w:eastAsia="Calibri" w:hAnsi="Calibri"/>
                <w:color w:val="333333"/>
                <w:sz w:val="19"/>
                <w:szCs w:val="19"/>
              </w:rPr>
              <w:t xml:space="preserve">"6414 Barrun St, Hollywood, SC 29449" is not recognized by the Census geocoder because it is a rural road. The tool automatically retries using Nominatim, which successfully returns the coordinates. The user sees no interruption.</w:t>
            </w:r>
          </w:p>
        </w:tc>
      </w:tr>
    </w:tbl>
    <w:p>
      <w:pPr>
        <w:spacing w:before="120" w:after="0"/>
      </w:pPr>
      <w:r>
        <w:t xml:space="preserve"/>
      </w:r>
    </w:p>
    <w:p>
      <w:pPr>
        <w:spacing w:before="200" w:after="80"/>
      </w:pPr>
      <w:r>
        <w:rPr>
          <w:rFonts w:ascii="Calibri" w:cs="Calibri" w:eastAsia="Calibri" w:hAnsi="Calibri"/>
          <w:b/>
          <w:bCs/>
          <w:color w:val="1F4E79"/>
          <w:sz w:val="22"/>
          <w:szCs w:val="22"/>
        </w:rPr>
        <w:t xml:space="preserve">Step 2 — Identify the County and City</w:t>
      </w:r>
    </w:p>
    <w:p>
      <w:pPr>
        <w:spacing w:before="60" w:after="80"/>
      </w:pPr>
      <w:r>
        <w:rPr>
          <w:rFonts w:ascii="Calibri" w:cs="Calibri" w:eastAsia="Calibri" w:hAnsi="Calibri"/>
          <w:sz w:val="20"/>
          <w:szCs w:val="20"/>
        </w:rPr>
        <w:t xml:space="preserve">The tool calls the Census geocoder’s geography lookup endpoint with the resolved latitude/longitude to identify which county and city (incorporated place or Census-designated place) the address falls in. This returns the state and county FIPS codes needed to query ACS data. If the address is in an unincorporated area with no named place, the city comparison column in the results table is omitted.</w:t>
      </w:r>
    </w:p>
    <w:p>
      <w:pPr>
        <w:spacing w:before="120" w:after="0"/>
      </w:pPr>
      <w:r>
        <w:t xml:space="preserve"/>
      </w:r>
    </w:p>
    <w:p>
      <w:pPr>
        <w:spacing w:before="200" w:after="80"/>
      </w:pPr>
      <w:r>
        <w:rPr>
          <w:rFonts w:ascii="Calibri" w:cs="Calibri" w:eastAsia="Calibri" w:hAnsi="Calibri"/>
          <w:b/>
          <w:bCs/>
          <w:color w:val="1F4E79"/>
          <w:sz w:val="22"/>
          <w:szCs w:val="22"/>
        </w:rPr>
        <w:t xml:space="preserve">Step 3 — Fetch Block Group Boundaries from TIGER</w:t>
      </w:r>
    </w:p>
    <w:p>
      <w:pPr>
        <w:spacing w:before="60" w:after="80"/>
      </w:pPr>
      <w:r>
        <w:rPr>
          <w:rFonts w:ascii="Calibri" w:cs="Calibri" w:eastAsia="Calibri" w:hAnsi="Calibri"/>
          <w:sz w:val="20"/>
          <w:szCs w:val="20"/>
        </w:rPr>
        <w:t xml:space="preserve">The tool queries the Census TIGER/Line web service to retrieve the actual polygon boundaries for every Census block group in the county. Each block group record includes the full boundary polygon as a series of coordinate rings, and an official interior point (INTPTLAT/INTPTLON) guaranteed to lie within the polygon.</w:t>
      </w:r>
    </w:p>
    <w:p>
      <w:pPr>
        <w:spacing w:before="60" w:after="0"/>
      </w:pPr>
      <w:r>
        <w:t xml:space="preserve"/>
      </w:r>
    </w:p>
    <w:p>
      <w:pPr>
        <w:spacing w:before="60" w:after="80"/>
      </w:pPr>
      <w:r>
        <w:rPr>
          <w:rFonts w:ascii="Calibri" w:cs="Calibri" w:eastAsia="Calibri" w:hAnsi="Calibri"/>
          <w:sz w:val="20"/>
          <w:szCs w:val="20"/>
        </w:rPr>
        <w:t xml:space="preserve">To ensure reliability in serverless environments, the TIGER fetch uses:</w:t>
      </w:r>
    </w:p>
    <w:p>
      <w:pPr>
        <w:spacing w:before="40" w:after="0"/>
      </w:pPr>
      <w:r>
        <w:t xml:space="preserve"/>
      </w:r>
    </w:p>
    <w:p>
      <w:pPr>
        <w:pStyle w:val="ListParagraph"/>
        <w:numPr>
          <w:ilvl w:val="0"/>
          <w:numId w:val="2"/>
        </w:numPr>
        <w:spacing w:before="40" w:after="40"/>
      </w:pPr>
      <w:r>
        <w:rPr>
          <w:rFonts w:ascii="Calibri" w:cs="Calibri" w:eastAsia="Calibri" w:hAnsi="Calibri"/>
          <w:b w:val="false"/>
          <w:bCs w:val="false"/>
          <w:sz w:val="20"/>
          <w:szCs w:val="20"/>
        </w:rPr>
        <w:t xml:space="preserve">Paginated requests of 500 block groups per page (rather than a single large request)</w:t>
      </w:r>
    </w:p>
    <w:p>
      <w:pPr>
        <w:pStyle w:val="ListParagraph"/>
        <w:numPr>
          <w:ilvl w:val="0"/>
          <w:numId w:val="2"/>
        </w:numPr>
        <w:spacing w:before="40" w:after="40"/>
      </w:pPr>
      <w:r>
        <w:rPr>
          <w:rFonts w:ascii="Calibri" w:cs="Calibri" w:eastAsia="Calibri" w:hAnsi="Calibri"/>
          <w:b w:val="false"/>
          <w:bCs w:val="false"/>
          <w:sz w:val="20"/>
          <w:szCs w:val="20"/>
        </w:rPr>
        <w:t xml:space="preserve">An 8-second timeout per page to prevent Vercel function timeouts on slow API responses</w:t>
      </w:r>
    </w:p>
    <w:p>
      <w:pPr>
        <w:pStyle w:val="ListParagraph"/>
        <w:numPr>
          <w:ilvl w:val="0"/>
          <w:numId w:val="2"/>
        </w:numPr>
        <w:spacing w:before="40" w:after="40"/>
      </w:pPr>
      <w:r>
        <w:rPr>
          <w:rFonts w:ascii="Calibri" w:cs="Calibri" w:eastAsia="Calibri" w:hAnsi="Calibri"/>
          <w:b w:val="false"/>
          <w:bCs w:val="false"/>
          <w:sz w:val="20"/>
          <w:szCs w:val="20"/>
        </w:rPr>
        <w:t xml:space="preserve">Automatic coordinate type coercion — TIGER occasionally returns coordinates as strings rather than numbers; these are parsed to floating-point values before use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2"/>
              <w:bottom w:val="single" w:color="D97706" w:sz="4"/>
              <w:right w:val="single" w:color="D97706" w:sz="4"/>
            </w:tcBorders>
            <w:shd w:fill="FFF7ED" w:val="clear"/>
            <w:tcMar>
              <w:top w:type="dxa" w:w="120"/>
              <w:left w:type="dxa" w:w="200"/>
              <w:bottom w:type="dxa" w:w="120"/>
              <w:right w:type="dxa" w:w="200"/>
            </w:tcMar>
          </w:tcPr>
          <w:p>
            <w:pPr>
              <w:spacing w:after="60"/>
            </w:pPr>
            <w:r>
              <w:rPr>
                <w:rFonts w:ascii="Calibri" w:cs="Calibri" w:eastAsia="Calibri" w:hAnsi="Calibri"/>
                <w:b/>
                <w:bCs/>
                <w:color w:val="1F4E79"/>
                <w:sz w:val="20"/>
                <w:szCs w:val="20"/>
              </w:rPr>
              <w:t xml:space="preserve">If TIGER Is Unavailable</w:t>
            </w:r>
          </w:p>
          <w:p>
            <w:pPr>
              <w:spacing w:after="0"/>
            </w:pPr>
            <w:r>
              <w:rPr>
                <w:rFonts w:ascii="Calibri" w:cs="Calibri" w:eastAsia="Calibri" w:hAnsi="Calibri"/>
                <w:color w:val="333333"/>
                <w:sz w:val="19"/>
                <w:szCs w:val="19"/>
              </w:rPr>
              <w:t xml:space="preserve">If the TIGER API fails or times out entirely, the tool falls back to the Census geocoder’s block group lookup endpoint, which returns the interior point of the block group containing the address. This provides centroid-based filtering without polygon boundaries. The tool displays a “TIGER unavailable” indicator in the results sidebar when this occurs.</w:t>
            </w:r>
          </w:p>
        </w:tc>
      </w:tr>
    </w:tbl>
    <w:p>
      <w:pPr>
        <w:spacing w:before="120" w:after="0"/>
      </w:pPr>
      <w:r>
        <w:t xml:space="preserve"/>
      </w:r>
    </w:p>
    <w:p>
      <w:pPr>
        <w:spacing w:before="200" w:after="80"/>
      </w:pPr>
      <w:r>
        <w:rPr>
          <w:rFonts w:ascii="Calibri" w:cs="Calibri" w:eastAsia="Calibri" w:hAnsi="Calibri"/>
          <w:b/>
          <w:bCs/>
          <w:color w:val="1F4E79"/>
          <w:sz w:val="22"/>
          <w:szCs w:val="22"/>
        </w:rPr>
        <w:t xml:space="preserve">Step 4 — Determine Which Block Groups Overlap the Radius</w:t>
      </w:r>
    </w:p>
    <w:p>
      <w:pPr>
        <w:spacing w:before="60" w:after="80"/>
      </w:pPr>
      <w:r>
        <w:rPr>
          <w:rFonts w:ascii="Calibri" w:cs="Calibri" w:eastAsia="Calibri" w:hAnsi="Calibri"/>
          <w:sz w:val="20"/>
          <w:szCs w:val="20"/>
        </w:rPr>
        <w:t xml:space="preserve">This is the core spatial step. The tool runs up to four passes to determine which block groups to include, stopping as soon as any pass finds results: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80"/>
        <w:gridCol w:w="348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Pass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Condition for Inclusion</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When It Matters Most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1a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Centroid check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The block group’s official interior point (INTPTLAT/LON) falls within the selected radius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Urban and suburban areas where block groups are small and densely packed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1b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Vertex check</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Any vertex of the block group’s boundary polygon falls within the selected radius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Block groups that straddle the radius boundary — their centroid may be outside but part of their area is inside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1c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Point-in-polygon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The address point falls inside the block group’s polygon (ray casting algorithm)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Rural areas where block groups are very large — the centroid and all boundary vertices may be more than 1 mile away even though the address sits within the block group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Point-in-polygon only</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Run if Pass 1 finds 0 block groups. Checks only whether the address is inside each polygon, ignoring distance.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Addresses in extremely large rural block groups where no geometry is within the radius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Nearest centroid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Run if Pass 2 also finds 0. Selects the single block group whose interior point is geographically closest to the address.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Last resort for edge cases where polygon data is missing or malformed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County fallback</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Run only if TIGER returned no geometry at all. Includes all block groups in the county.</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TIGER API outage or connectivity failure — indicated by “TIGER unavailable” in the sidebar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2"/>
              <w:bottom w:val="single" w:color="D97706" w:sz="4"/>
              <w:right w:val="single" w:color="D97706" w:sz="4"/>
            </w:tcBorders>
            <w:shd w:fill="FFFBEB" w:val="clear"/>
            <w:tcMar>
              <w:top w:type="dxa" w:w="120"/>
              <w:left w:type="dxa" w:w="200"/>
              <w:bottom w:type="dxa" w:w="120"/>
              <w:right w:type="dxa" w:w="200"/>
            </w:tcMar>
          </w:tcPr>
          <w:p>
            <w:pPr>
              <w:spacing w:after="60"/>
            </w:pPr>
            <w:r>
              <w:rPr>
                <w:rFonts w:ascii="Calibri" w:cs="Calibri" w:eastAsia="Calibri" w:hAnsi="Calibri"/>
                <w:b/>
                <w:bCs/>
                <w:color w:val="1F4E79"/>
                <w:sz w:val="20"/>
                <w:szCs w:val="20"/>
              </w:rPr>
              <w:t xml:space="preserve">Why Four Passes?</w:t>
            </w:r>
          </w:p>
          <w:p>
            <w:pPr>
              <w:spacing w:after="0"/>
            </w:pPr>
            <w:r>
              <w:rPr>
                <w:rFonts w:ascii="Calibri" w:cs="Calibri" w:eastAsia="Calibri" w:hAnsi="Calibri"/>
                <w:color w:val="333333"/>
                <w:sz w:val="19"/>
                <w:szCs w:val="19"/>
              </w:rPr>
              <w:t xml:space="preserve">A single centroid-distance check fails for large rural block groups (Pass 1c and 2 are needed) and for dense urban areas at the radius boundary (Pass 1b is needed). The multi-pass approach ensures every address type — urban, suburban, or rural — returns meaningful results without ever silently falling back to county-wide data unless TIGER itself is unavailable.</w:t>
            </w:r>
          </w:p>
        </w:tc>
      </w:tr>
    </w:tbl>
    <w:p>
      <w:pPr>
        <w:spacing w:before="120" w:after="0"/>
      </w:pPr>
      <w:r>
        <w:t xml:space="preserve"/>
      </w:r>
    </w:p>
    <w:p>
      <w:pPr>
        <w:spacing w:before="200" w:after="80"/>
      </w:pPr>
      <w:r>
        <w:rPr>
          <w:rFonts w:ascii="Calibri" w:cs="Calibri" w:eastAsia="Calibri" w:hAnsi="Calibri"/>
          <w:b/>
          <w:bCs/>
          <w:color w:val="1F4E79"/>
          <w:sz w:val="22"/>
          <w:szCs w:val="22"/>
        </w:rPr>
        <w:t xml:space="preserve">Step 5 — Fetch ACS Data for All Block Groups in the County</w:t>
      </w:r>
    </w:p>
    <w:p>
      <w:pPr>
        <w:spacing w:before="60" w:after="80"/>
      </w:pPr>
      <w:r>
        <w:rPr>
          <w:rFonts w:ascii="Calibri" w:cs="Calibri" w:eastAsia="Calibri" w:hAnsi="Calibri"/>
          <w:sz w:val="20"/>
          <w:szCs w:val="20"/>
        </w:rPr>
        <w:t xml:space="preserve">The tool retrieves ACS 5-year estimate data for all block groups in the county. Variables are requested in batches of 48 per API call (the Census API maximum is 50, with 2 reserved for geography identifiers). The following variable groups are fetched:</w:t>
      </w:r>
    </w:p>
    <w:p>
      <w:pPr>
        <w:spacing w:before="40" w:after="0"/>
      </w:pPr>
      <w:r>
        <w:t xml:space="preserve"/>
      </w:r>
    </w:p>
    <w:p>
      <w:pPr>
        <w:pStyle w:val="ListParagraph"/>
        <w:numPr>
          <w:ilvl w:val="0"/>
          <w:numId w:val="2"/>
        </w:numPr>
        <w:spacing w:before="40" w:after="40"/>
      </w:pPr>
      <w:r>
        <w:rPr>
          <w:rFonts w:ascii="Calibri" w:cs="Calibri" w:eastAsia="Calibri" w:hAnsi="Calibri"/>
          <w:b w:val="false"/>
          <w:bCs w:val="false"/>
          <w:sz w:val="20"/>
          <w:szCs w:val="20"/>
        </w:rPr>
        <w:t xml:space="preserve">Race and Ethnicity (Table B03002)</w:t>
      </w:r>
    </w:p>
    <w:p>
      <w:pPr>
        <w:pStyle w:val="ListParagraph"/>
        <w:numPr>
          <w:ilvl w:val="0"/>
          <w:numId w:val="2"/>
        </w:numPr>
        <w:spacing w:before="40" w:after="40"/>
      </w:pPr>
      <w:r>
        <w:rPr>
          <w:rFonts w:ascii="Calibri" w:cs="Calibri" w:eastAsia="Calibri" w:hAnsi="Calibri"/>
          <w:b w:val="false"/>
          <w:bCs w:val="false"/>
          <w:sz w:val="20"/>
          <w:szCs w:val="20"/>
        </w:rPr>
        <w:t xml:space="preserve">Age by Sex (Table B01001)</w:t>
      </w:r>
    </w:p>
    <w:p>
      <w:pPr>
        <w:pStyle w:val="ListParagraph"/>
        <w:numPr>
          <w:ilvl w:val="0"/>
          <w:numId w:val="2"/>
        </w:numPr>
        <w:spacing w:before="40" w:after="40"/>
      </w:pPr>
      <w:r>
        <w:rPr>
          <w:rFonts w:ascii="Calibri" w:cs="Calibri" w:eastAsia="Calibri" w:hAnsi="Calibri"/>
          <w:b w:val="false"/>
          <w:bCs w:val="false"/>
          <w:sz w:val="20"/>
          <w:szCs w:val="20"/>
        </w:rPr>
        <w:t xml:space="preserve">Median Household Income (B19013), Per Capita Income (B19301), Households by Income (B19001)</w:t>
      </w:r>
    </w:p>
    <w:p>
      <w:pPr>
        <w:pStyle w:val="ListParagraph"/>
        <w:numPr>
          <w:ilvl w:val="0"/>
          <w:numId w:val="2"/>
        </w:numPr>
        <w:spacing w:before="40" w:after="40"/>
      </w:pPr>
      <w:r>
        <w:rPr>
          <w:rFonts w:ascii="Calibri" w:cs="Calibri" w:eastAsia="Calibri" w:hAnsi="Calibri"/>
          <w:b w:val="false"/>
          <w:bCs w:val="false"/>
          <w:sz w:val="20"/>
          <w:szCs w:val="20"/>
        </w:rPr>
        <w:t xml:space="preserve">Poverty — Population by Poverty Ratio (Table C17002). Note: Table B17001, which is more commonly cited in published reports, is only available at the Census tract level and above, not at the block group level. C17002 is used instead and produces equivalent poverty counts.</w:t>
      </w:r>
    </w:p>
    <w:p>
      <w:pPr>
        <w:pStyle w:val="ListParagraph"/>
        <w:numPr>
          <w:ilvl w:val="0"/>
          <w:numId w:val="2"/>
        </w:numPr>
        <w:spacing w:before="40" w:after="40"/>
      </w:pPr>
      <w:r>
        <w:rPr>
          <w:rFonts w:ascii="Calibri" w:cs="Calibri" w:eastAsia="Calibri" w:hAnsi="Calibri"/>
          <w:b w:val="false"/>
          <w:bCs w:val="false"/>
          <w:sz w:val="20"/>
          <w:szCs w:val="20"/>
        </w:rPr>
        <w:t xml:space="preserve">Educational Attainment (Table B15003)</w:t>
      </w:r>
    </w:p>
    <w:p>
      <w:pPr>
        <w:spacing w:before="120" w:after="0"/>
      </w:pPr>
      <w:r>
        <w:t xml:space="preserve"/>
      </w:r>
    </w:p>
    <w:p>
      <w:pPr>
        <w:spacing w:before="200" w:after="80"/>
      </w:pPr>
      <w:r>
        <w:rPr>
          <w:rFonts w:ascii="Calibri" w:cs="Calibri" w:eastAsia="Calibri" w:hAnsi="Calibri"/>
          <w:b/>
          <w:bCs/>
          <w:color w:val="1F4E79"/>
          <w:sz w:val="22"/>
          <w:szCs w:val="22"/>
        </w:rPr>
        <w:t xml:space="preserve">Step 6 — Aggregate Block Group Data for the Radius</w:t>
      </w:r>
    </w:p>
    <w:p>
      <w:pPr>
        <w:spacing w:before="60" w:after="80"/>
      </w:pPr>
      <w:r>
        <w:rPr>
          <w:rFonts w:ascii="Calibri" w:cs="Calibri" w:eastAsia="Calibri" w:hAnsi="Calibri"/>
          <w:sz w:val="20"/>
          <w:szCs w:val="20"/>
        </w:rPr>
        <w:t xml:space="preserve">Once the set of block groups within the radius is determined, the tool aggregates their values:</w:t>
      </w:r>
    </w:p>
    <w:p>
      <w:pPr>
        <w:spacing w:before="40" w:after="0"/>
      </w:pPr>
      <w:r>
        <w:t xml:space="preserve"/>
      </w:r>
    </w:p>
    <w:p>
      <w:pPr>
        <w:pStyle w:val="ListParagraph"/>
        <w:numPr>
          <w:ilvl w:val="0"/>
          <w:numId w:val="2"/>
        </w:numPr>
        <w:spacing w:before="40" w:after="40"/>
      </w:pPr>
      <w:r>
        <w:rPr>
          <w:rFonts w:ascii="Calibri" w:cs="Calibri" w:eastAsia="Calibri" w:hAnsi="Calibri"/>
          <w:b w:val="false"/>
          <w:bCs w:val="false"/>
          <w:sz w:val="20"/>
          <w:szCs w:val="20"/>
        </w:rPr>
        <w:t xml:space="preserve">Count variables (population totals, race, age groups, poverty, education): summed directly across all included block groups, excluding any Census “N/A” sentinel values (-666,666,666)</w:t>
      </w:r>
    </w:p>
    <w:p>
      <w:pPr>
        <w:pStyle w:val="ListParagraph"/>
        <w:numPr>
          <w:ilvl w:val="0"/>
          <w:numId w:val="2"/>
        </w:numPr>
        <w:spacing w:before="40" w:after="40"/>
      </w:pPr>
      <w:r>
        <w:rPr>
          <w:rFonts w:ascii="Calibri" w:cs="Calibri" w:eastAsia="Calibri" w:hAnsi="Calibri"/>
          <w:b w:val="false"/>
          <w:bCs w:val="false"/>
          <w:sz w:val="20"/>
          <w:szCs w:val="20"/>
        </w:rPr>
        <w:t xml:space="preserve">Median household income: population-weighted average of each block group’s median, weighted by the number of households in that block group (B19001_001E)</w:t>
      </w:r>
    </w:p>
    <w:p>
      <w:pPr>
        <w:pStyle w:val="ListParagraph"/>
        <w:numPr>
          <w:ilvl w:val="0"/>
          <w:numId w:val="2"/>
        </w:numPr>
        <w:spacing w:before="40" w:after="40"/>
      </w:pPr>
      <w:r>
        <w:rPr>
          <w:rFonts w:ascii="Calibri" w:cs="Calibri" w:eastAsia="Calibri" w:hAnsi="Calibri"/>
          <w:b w:val="false"/>
          <w:bCs w:val="false"/>
          <w:sz w:val="20"/>
          <w:szCs w:val="20"/>
        </w:rPr>
        <w:t xml:space="preserve">Per capita income: population-weighted average, weighted by total population (B01001_001E)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thick" w:color="16A34A" w:sz="12"/>
              <w:bottom w:val="single" w:color="16A34A" w:sz="4"/>
              <w:right w:val="single" w:color="16A34A" w:sz="4"/>
            </w:tcBorders>
            <w:shd w:fill="F0FDF4" w:val="clear"/>
            <w:tcMar>
              <w:top w:type="dxa" w:w="120"/>
              <w:left w:type="dxa" w:w="200"/>
              <w:bottom w:type="dxa" w:w="120"/>
              <w:right w:type="dxa" w:w="200"/>
            </w:tcMar>
          </w:tcPr>
          <w:p>
            <w:pPr>
              <w:spacing w:after="60"/>
            </w:pPr>
            <w:r>
              <w:rPr>
                <w:rFonts w:ascii="Calibri" w:cs="Calibri" w:eastAsia="Calibri" w:hAnsi="Calibri"/>
                <w:b/>
                <w:bCs/>
                <w:color w:val="1F4E79"/>
                <w:sz w:val="20"/>
                <w:szCs w:val="20"/>
              </w:rPr>
              <w:t xml:space="preserve">Note on Weighted Medians</w:t>
            </w:r>
          </w:p>
          <w:p>
            <w:pPr>
              <w:spacing w:after="0"/>
            </w:pPr>
            <w:r>
              <w:rPr>
                <w:rFonts w:ascii="Calibri" w:cs="Calibri" w:eastAsia="Calibri" w:hAnsi="Calibri"/>
                <w:color w:val="333333"/>
                <w:sz w:val="19"/>
                <w:szCs w:val="19"/>
              </w:rPr>
              <w:t xml:space="preserve">A true median income for a custom geographic area cannot be computed from published block group medians alone — that would require access to the underlying microdata. The household-weighted average of block group medians is a standard and widely accepted approximation for custom geographies. Earlier versions of this tool incorrectly used poverty universe population as the weight; this was corrected in v2.0 to use household count.</w:t>
            </w:r>
          </w:p>
        </w:tc>
      </w:tr>
    </w:tbl>
    <w:p>
      <w:pPr>
        <w:spacing w:before="120" w:after="0"/>
      </w:pPr>
      <w:r>
        <w:t xml:space="preserve"/>
      </w:r>
    </w:p>
    <w:p>
      <w:pPr>
        <w:spacing w:before="200" w:after="80"/>
      </w:pPr>
      <w:r>
        <w:rPr>
          <w:rFonts w:ascii="Calibri" w:cs="Calibri" w:eastAsia="Calibri" w:hAnsi="Calibri"/>
          <w:b/>
          <w:bCs/>
          <w:color w:val="1F4E79"/>
          <w:sz w:val="22"/>
          <w:szCs w:val="22"/>
        </w:rPr>
        <w:t xml:space="preserve">Step 7 — Fetch Comparison Geographies</w:t>
      </w:r>
    </w:p>
    <w:p>
      <w:pPr>
        <w:spacing w:before="60" w:after="80"/>
      </w:pPr>
      <w:r>
        <w:rPr>
          <w:rFonts w:ascii="Calibri" w:cs="Calibri" w:eastAsia="Calibri" w:hAnsi="Calibri"/>
          <w:sz w:val="20"/>
          <w:szCs w:val="20"/>
        </w:rPr>
        <w:t xml:space="preserve">In parallel with Step 5, the tool fetches the same ACS variables at three additional geographic levels for the comparison columns in the results table:</w:t>
      </w:r>
    </w:p>
    <w:p>
      <w:pPr>
        <w:spacing w:before="40" w:after="0"/>
      </w:pPr>
      <w:r>
        <w:t xml:space="preserve"/>
      </w:r>
    </w:p>
    <w:p>
      <w:pPr>
        <w:pStyle w:val="ListParagraph"/>
        <w:numPr>
          <w:ilvl w:val="0"/>
          <w:numId w:val="2"/>
        </w:numPr>
        <w:spacing w:before="40" w:after="40"/>
      </w:pPr>
      <w:r>
        <w:rPr>
          <w:rFonts w:ascii="Calibri" w:cs="Calibri" w:eastAsia="Calibri" w:hAnsi="Calibri"/>
          <w:b w:val="false"/>
          <w:bCs w:val="false"/>
          <w:sz w:val="20"/>
          <w:szCs w:val="20"/>
        </w:rPr>
        <w:t xml:space="preserve">City / Place: the incorporated place or Census-designated place containing the address (omitted if none exists, e.g. unincorporated rural areas)</w:t>
      </w:r>
    </w:p>
    <w:p>
      <w:pPr>
        <w:pStyle w:val="ListParagraph"/>
        <w:numPr>
          <w:ilvl w:val="0"/>
          <w:numId w:val="2"/>
        </w:numPr>
        <w:spacing w:before="40" w:after="40"/>
      </w:pPr>
      <w:r>
        <w:rPr>
          <w:rFonts w:ascii="Calibri" w:cs="Calibri" w:eastAsia="Calibri" w:hAnsi="Calibri"/>
          <w:b w:val="false"/>
          <w:bCs w:val="false"/>
          <w:sz w:val="20"/>
          <w:szCs w:val="20"/>
        </w:rPr>
        <w:t xml:space="preserve">County: the full county containing the address</w:t>
      </w:r>
    </w:p>
    <w:p>
      <w:pPr>
        <w:pStyle w:val="ListParagraph"/>
        <w:numPr>
          <w:ilvl w:val="0"/>
          <w:numId w:val="2"/>
        </w:numPr>
        <w:spacing w:before="40" w:after="40"/>
      </w:pPr>
      <w:r>
        <w:rPr>
          <w:rFonts w:ascii="Calibri" w:cs="Calibri" w:eastAsia="Calibri" w:hAnsi="Calibri"/>
          <w:b w:val="false"/>
          <w:bCs w:val="false"/>
          <w:sz w:val="20"/>
          <w:szCs w:val="20"/>
        </w:rPr>
        <w:t xml:space="preserve">State: the full state containing the address</w:t>
      </w:r>
    </w:p>
    <w:p>
      <w:pPr>
        <w:spacing w:before="160" w:after="0"/>
      </w:pPr>
      <w:r>
        <w:t xml:space="preserve"/>
      </w:r>
    </w:p>
    <w:p>
      <w:pPr>
        <w:pStyle w:val="Heading1"/>
        <w:pBdr>
          <w:bottom w:val="single" w:color="1F4E79" w:sz="6" w:space="1"/>
        </w:pBdr>
        <w:spacing w:before="360" w:after="160"/>
      </w:pPr>
      <w:r>
        <w:rPr>
          <w:rFonts w:ascii="Georgia" w:cs="Georgia" w:eastAsia="Georgia" w:hAnsi="Georgia"/>
          <w:b/>
          <w:bCs/>
          <w:color w:val="1F4E79"/>
          <w:sz w:val="32"/>
          <w:szCs w:val="32"/>
        </w:rPr>
        <w:t xml:space="preserve">4. Radius-Specific Behavior</w:t>
      </w:r>
    </w:p>
    <w:p>
      <w:pPr>
        <w:spacing w:before="60" w:after="80"/>
      </w:pPr>
      <w:r>
        <w:rPr>
          <w:rFonts w:ascii="Calibri" w:cs="Calibri" w:eastAsia="Calibri" w:hAnsi="Calibri"/>
          <w:sz w:val="20"/>
          <w:szCs w:val="20"/>
        </w:rPr>
        <w:t xml:space="preserve">The same four-pass methodology is used for all three radius options. However, the practical effect of each pass varies by radius size and geography type: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1 Mile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5 Miles</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10 Miles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Typical block groups included (urban)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2–15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15–50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40–120</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Typical block groups included (rural)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1–3 (often 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5–15</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15–40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Most important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Pass 1c and Pass 2 — point-in-polygon is critical for rural addresses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All passes contribute; 1a and 1b handle most cases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Pass 1a (centroid check) handles nearly all cases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Key rural behavior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A single large rural block group may be the only result; its full population is included even if only part of it overlaps the circle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Usually captures several block groups including partial overlaps at the boundary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Typically spans much of the county; boundary effects are minimal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Best use case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Immediate neighborhood, walking-distance service area, single facility catchment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Standard nonprofit service area, business site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Regional workforce, market analysis, commuter shed</w:t>
            </w:r>
          </w:p>
        </w:tc>
      </w:tr>
    </w:tbl>
    <w:p>
      <w:pPr>
        <w:spacing w:before="160" w:after="0"/>
      </w:pPr>
      <w:r>
        <w:t xml:space="preserve"/>
      </w:r>
    </w:p>
    <w:p>
      <w:pPr>
        <w:pStyle w:val="Heading1"/>
        <w:pBdr>
          <w:bottom w:val="single" w:color="1F4E79" w:sz="6" w:space="1"/>
        </w:pBdr>
        <w:spacing w:before="360" w:after="160"/>
      </w:pPr>
      <w:r>
        <w:rPr>
          <w:rFonts w:ascii="Georgia" w:cs="Georgia" w:eastAsia="Georgia" w:hAnsi="Georgia"/>
          <w:b/>
          <w:bCs/>
          <w:color w:val="1F4E79"/>
          <w:sz w:val="32"/>
          <w:szCs w:val="32"/>
        </w:rPr>
        <w:t xml:space="preserve">5. Known Limitations</w:t>
      </w:r>
    </w:p>
    <w:p>
      <w:pPr>
        <w:spacing w:before="80" w:after="0"/>
      </w:pPr>
      <w:r>
        <w:t xml:space="preserve"/>
      </w:r>
    </w:p>
    <w:p>
      <w:pPr>
        <w:spacing w:before="200" w:after="80"/>
      </w:pPr>
      <w:r>
        <w:rPr>
          <w:rFonts w:ascii="Calibri" w:cs="Calibri" w:eastAsia="Calibri" w:hAnsi="Calibri"/>
          <w:b/>
          <w:bCs/>
          <w:color w:val="1F4E79"/>
          <w:sz w:val="22"/>
          <w:szCs w:val="22"/>
        </w:rPr>
        <w:t xml:space="preserve">Block Groups Are Included as Whole Units</w:t>
      </w:r>
    </w:p>
    <w:p>
      <w:pPr>
        <w:spacing w:before="60" w:after="80"/>
      </w:pPr>
      <w:r>
        <w:rPr>
          <w:rFonts w:ascii="Calibri" w:cs="Calibri" w:eastAsia="Calibri" w:hAnsi="Calibri"/>
          <w:sz w:val="20"/>
          <w:szCs w:val="20"/>
        </w:rPr>
        <w:t xml:space="preserve">Block groups are included or excluded as complete units — the tool does not calculate what fraction of a block group’s area overlaps the radius circle. This means a block group near the radius boundary may have only 10% of its area inside the circle, but 100% of its population is counted. This effect is most pronounced at the 1-mile radius and diminishes at larger radii. Area-weighted aggregation is planned for a future version.</w:t>
      </w:r>
    </w:p>
    <w:p>
      <w:pPr>
        <w:spacing w:before="100" w:after="0"/>
      </w:pPr>
      <w:r>
        <w:t xml:space="preserve"/>
      </w:r>
    </w:p>
    <w:p>
      <w:pPr>
        <w:spacing w:before="200" w:after="80"/>
      </w:pPr>
      <w:r>
        <w:rPr>
          <w:rFonts w:ascii="Calibri" w:cs="Calibri" w:eastAsia="Calibri" w:hAnsi="Calibri"/>
          <w:b/>
          <w:bCs/>
          <w:color w:val="1F4E79"/>
          <w:sz w:val="22"/>
          <w:szCs w:val="22"/>
        </w:rPr>
        <w:t xml:space="preserve">Rural 1-Mile Radius May Return a Single Large Block Group</w:t>
      </w:r>
    </w:p>
    <w:p>
      <w:pPr>
        <w:spacing w:before="60" w:after="80"/>
      </w:pPr>
      <w:r>
        <w:rPr>
          <w:rFonts w:ascii="Calibri" w:cs="Calibri" w:eastAsia="Calibri" w:hAnsi="Calibri"/>
          <w:sz w:val="20"/>
          <w:szCs w:val="20"/>
        </w:rPr>
        <w:t xml:space="preserve">In rural areas, Census block groups can cover many square miles. When searching a rural address at 1 mile, it is expected and correct to return only 1 block group — the one containing the address. That block group’s population may represent a much larger geographic area than 1 mile. This is an inherent limitation of Census geography in rural areas, not a bug in the tool.</w:t>
      </w:r>
    </w:p>
    <w:p>
      <w:pPr>
        <w:spacing w:before="100" w:after="0"/>
      </w:pPr>
      <w:r>
        <w:t xml:space="preserve"/>
      </w:r>
    </w:p>
    <w:p>
      <w:pPr>
        <w:spacing w:before="200" w:after="80"/>
      </w:pPr>
      <w:r>
        <w:rPr>
          <w:rFonts w:ascii="Calibri" w:cs="Calibri" w:eastAsia="Calibri" w:hAnsi="Calibri"/>
          <w:b/>
          <w:bCs/>
          <w:color w:val="1F4E79"/>
          <w:sz w:val="22"/>
          <w:szCs w:val="22"/>
        </w:rPr>
        <w:t xml:space="preserve">Single-County Limitation</w:t>
      </w:r>
    </w:p>
    <w:p>
      <w:pPr>
        <w:spacing w:before="60" w:after="80"/>
      </w:pPr>
      <w:r>
        <w:rPr>
          <w:rFonts w:ascii="Calibri" w:cs="Calibri" w:eastAsia="Calibri" w:hAnsi="Calibri"/>
          <w:sz w:val="20"/>
          <w:szCs w:val="20"/>
        </w:rPr>
        <w:t xml:space="preserve">The current version only fetches block group data for the county in which the address is located. For addresses near a county boundary, block groups in adjacent counties are not included even if they fall within the selected radius. This most commonly affects 10-mile queries near county lines.</w:t>
      </w:r>
    </w:p>
    <w:p>
      <w:pPr>
        <w:spacing w:before="100" w:after="0"/>
      </w:pPr>
      <w:r>
        <w:t xml:space="preserve"/>
      </w:r>
    </w:p>
    <w:p>
      <w:pPr>
        <w:spacing w:before="200" w:after="80"/>
      </w:pPr>
      <w:r>
        <w:rPr>
          <w:rFonts w:ascii="Calibri" w:cs="Calibri" w:eastAsia="Calibri" w:hAnsi="Calibri"/>
          <w:b/>
          <w:bCs/>
          <w:color w:val="1F4E79"/>
          <w:sz w:val="22"/>
          <w:szCs w:val="22"/>
        </w:rPr>
        <w:t xml:space="preserve">ACS Estimates vs. True Counts</w:t>
      </w:r>
    </w:p>
    <w:p>
      <w:pPr>
        <w:spacing w:before="60" w:after="80"/>
      </w:pPr>
      <w:r>
        <w:rPr>
          <w:rFonts w:ascii="Calibri" w:cs="Calibri" w:eastAsia="Calibri" w:hAnsi="Calibri"/>
          <w:sz w:val="20"/>
          <w:szCs w:val="20"/>
        </w:rPr>
        <w:t xml:space="preserve">All data comes from the American Community Survey 5-Year Estimates, which are statistical estimates based on survey samples — not a complete count like the Decennial Census. Each estimate carries an associated margin of error. For small block groups with low populations, these margins can be significant. Selecting “2024” returns estimates representing the 2020–2024 5-year average period.</w:t>
      </w:r>
    </w:p>
    <w:p>
      <w:pPr>
        <w:spacing w:before="100" w:after="0"/>
      </w:pPr>
      <w:r>
        <w:t xml:space="preserve"/>
      </w:r>
    </w:p>
    <w:p>
      <w:pPr>
        <w:spacing w:before="200" w:after="80"/>
      </w:pPr>
      <w:r>
        <w:rPr>
          <w:rFonts w:ascii="Calibri" w:cs="Calibri" w:eastAsia="Calibri" w:hAnsi="Calibri"/>
          <w:b/>
          <w:bCs/>
          <w:color w:val="1F4E79"/>
          <w:sz w:val="22"/>
          <w:szCs w:val="22"/>
        </w:rPr>
        <w:t xml:space="preserve">Poverty Table Difference from Published Reports</w:t>
      </w:r>
    </w:p>
    <w:p>
      <w:pPr>
        <w:spacing w:before="60" w:after="80"/>
      </w:pPr>
      <w:r>
        <w:rPr>
          <w:rFonts w:ascii="Calibri" w:cs="Calibri" w:eastAsia="Calibri" w:hAnsi="Calibri"/>
          <w:sz w:val="20"/>
          <w:szCs w:val="20"/>
        </w:rPr>
        <w:t xml:space="preserve">Standard poverty tables (B17001) cited in most published reports are not available at the block group level. The tool uses Table C17002 (Ratio of Income to Poverty Level), summing categories below 1.0 (i.e., below 100% of the poverty line) to derive the population below poverty. The same table is used consistently across the radius, city, county, and state columns. Figures may differ slightly from county or state reports that use B17001.</w:t>
      </w:r>
    </w:p>
    <w:p>
      <w:pPr>
        <w:spacing w:before="100" w:after="0"/>
      </w:pPr>
      <w:r>
        <w:t xml:space="preserve"/>
      </w:r>
    </w:p>
    <w:p>
      <w:pPr>
        <w:spacing w:before="200" w:after="80"/>
      </w:pPr>
      <w:r>
        <w:rPr>
          <w:rFonts w:ascii="Calibri" w:cs="Calibri" w:eastAsia="Calibri" w:hAnsi="Calibri"/>
          <w:b/>
          <w:bCs/>
          <w:color w:val="1F4E79"/>
          <w:sz w:val="22"/>
          <w:szCs w:val="22"/>
        </w:rPr>
        <w:t xml:space="preserve">TIGER API Availability</w:t>
      </w:r>
    </w:p>
    <w:p>
      <w:pPr>
        <w:spacing w:before="60" w:after="80"/>
      </w:pPr>
      <w:r>
        <w:rPr>
          <w:rFonts w:ascii="Calibri" w:cs="Calibri" w:eastAsia="Calibri" w:hAnsi="Calibri"/>
          <w:sz w:val="20"/>
          <w:szCs w:val="20"/>
        </w:rPr>
        <w:t xml:space="preserve">The TIGER/Line web service is an external dependency. If it is unavailable or times out, the tool falls back to centroid-based filtering using the Census geocoder’s block group lookup. In this case, the results sidebar displays “TIGER unavailable.” The data is still returned but without full polygon intersection checks, which may reduce accuracy at radius boundaries.</w:t>
      </w:r>
    </w:p>
    <w:p>
      <w:pPr>
        <w:spacing w:before="160" w:after="0"/>
      </w:pPr>
      <w:r>
        <w:t xml:space="preserve"/>
      </w:r>
    </w:p>
    <w:p>
      <w:pPr>
        <w:pStyle w:val="Heading1"/>
        <w:pBdr>
          <w:bottom w:val="single" w:color="1F4E79" w:sz="6" w:space="1"/>
        </w:pBdr>
        <w:spacing w:before="360" w:after="160"/>
      </w:pPr>
      <w:r>
        <w:rPr>
          <w:rFonts w:ascii="Georgia" w:cs="Georgia" w:eastAsia="Georgia" w:hAnsi="Georgia"/>
          <w:b/>
          <w:bCs/>
          <w:color w:val="1F4E79"/>
          <w:sz w:val="32"/>
          <w:szCs w:val="32"/>
        </w:rPr>
        <w:t xml:space="preserve">6. Glossary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Term</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ACS 5-Year Estimates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Survey-based demographic estimates averaged over a 5-year period published by the U.S. Census Bureau. Selecting “2024” returns estimates representing the 2020–2024 average.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Block Group</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The smallest geographic unit for which the Census Bureau publishes ACS data. A block group typically contains 600–3,000 people and can range from a few city blocks in urban areas to many square miles in rural areas.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C17002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The Census ACS table for Ratio of Income to Poverty Level, available at the block group level. Used instead of the more commonly cited B17001 (Poverty Status), which is only published at the tract level and above.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FIPS Code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Federal Information Processing Standards code — a numeric identifier for states (2 digits), counties (3 digits), tracts (6 digits), and block groups (1 digit) used by the Census Bureau.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Geocoding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The process of converting a street address into geographic coordinates (latitude and longitude).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Interior Point (INTPTLAT/LON)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A latitude/longitude coordinate guaranteed to fall inside a given Census polygon boundary. Used as the official “centroid” for block groups in intersection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Nominatim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A free geocoding service powered by OpenStreetMap data. Used as a fallback when the Census Bureau’s geocoder cannot match an address.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Point-in-Polygon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A spatial algorithm (ray casting) that determines whether a given coordinate falls inside a polygon. Used in Pass 1c and Pass 2 of the radius filtering to identify the block group containing the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TIGER/Line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Topologically Integrated Geographic Encoding and Referencing — the Census Bureau’s database of geographic boundaries for all U.S. geographies. Used to retrieve block group polygon boundaries.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Weighted Average Median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An approximation of median income for a custom geography, calculated by weighting each block group’s published median by its number of households (for median household income) or total population (for per capita income).</w:t>
            </w:r>
          </w:p>
        </w:tc>
      </w:tr>
    </w:tbl>
    <w:p>
      <w:pPr>
        <w:spacing w:before="160" w:after="0"/>
      </w:pPr>
      <w:r>
        <w:t xml:space="preserve"/>
      </w:r>
    </w:p>
    <w:p>
      <w:pPr>
        <w:pBdr>
          <w:top w:val="single" w:color="CCCCCC" w:sz="4" w:space="4"/>
        </w:pBdr>
        <w:spacing w:before="120" w:after="0"/>
      </w:pPr>
      <w:r>
        <w:rPr>
          <w:rFonts w:ascii="Calibri" w:cs="Calibri" w:eastAsia="Calibri" w:hAnsi="Calibri"/>
          <w:i/>
          <w:iCs/>
          <w:color w:val="888888"/>
          <w:sz w:val="17"/>
          <w:szCs w:val="17"/>
        </w:rPr>
        <w:t xml:space="preserve">For questions about this methodology, contact the tool administrator. Data sourced from U.S. Census Bureau American Community Survey 5-Year Estimates and TIGER/Line geographic boundary files. This document reflects tool version 2.0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Calibri" w:cs="Calibri" w:eastAsia="Calibri" w:hAnsi="Calibri"/>
        <w:color w:val="888888"/>
        <w:sz w:val="16"/>
        <w:szCs w:val="16"/>
      </w:rPr>
      <w:t xml:space="preserve">Demographics Radius Tool  |  Methodology Documentation  |  v2.0</w:t>
    </w:r>
    <w:r>
      <w:rPr>
        <w:rFonts w:ascii="Calibri" w:cs="Calibri" w:eastAsia="Calibri" w:hAnsi="Calibri"/>
        <w:sz w:val="16"/>
        <w:szCs w:val="16"/>
      </w:rPr>
      <w:t xml:space="preserve">	</w:t>
    </w:r>
    <w:r>
      <w:rPr>
        <w:rFonts w:ascii="Calibri" w:cs="Calibri" w:eastAsia="Calibri" w:hAnsi="Calibri"/>
        <w:i/>
        <w:iCs/>
        <w:color w:val="888888"/>
        <w:sz w:val="16"/>
        <w:szCs w:val="16"/>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1F4E79"/>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2E74B5"/>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4DA7255B28B4694770A53A5539B38" ma:contentTypeVersion="18" ma:contentTypeDescription="Create a new document." ma:contentTypeScope="" ma:versionID="1899c94a4b508401da50084da8c54e17">
  <xsd:schema xmlns:xsd="http://www.w3.org/2001/XMLSchema" xmlns:xs="http://www.w3.org/2001/XMLSchema" xmlns:p="http://schemas.microsoft.com/office/2006/metadata/properties" xmlns:ns2="1e06914f-44e5-4d7d-a5ff-3a28c6f4b369" xmlns:ns3="dad4a9f3-2e1e-4919-874f-bf91ce1ba52a" targetNamespace="http://schemas.microsoft.com/office/2006/metadata/properties" ma:root="true" ma:fieldsID="89a76d001a9de6ddba9b7096f6fa5bec" ns2:_="" ns3:_="">
    <xsd:import namespace="1e06914f-44e5-4d7d-a5ff-3a28c6f4b369"/>
    <xsd:import namespace="dad4a9f3-2e1e-4919-874f-bf91ce1ba5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SearchProperties" minOccurs="0"/>
                <xsd:element ref="ns2:MediaServiceObjectDetectorVersion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6914f-44e5-4d7d-a5ff-3a28c6f4b3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bd9582-b7ae-4246-a421-b670bf0814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d4a9f3-2e1e-4919-874f-bf91ce1ba5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a88b5c4-dc14-4933-8131-4df58965bb75}" ma:internalName="TaxCatchAll" ma:showField="CatchAllData" ma:web="dad4a9f3-2e1e-4919-874f-bf91ce1ba52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06914f-44e5-4d7d-a5ff-3a28c6f4b369">
      <Terms xmlns="http://schemas.microsoft.com/office/infopath/2007/PartnerControls"/>
    </lcf76f155ced4ddcb4097134ff3c332f>
    <TaxCatchAll xmlns="dad4a9f3-2e1e-4919-874f-bf91ce1ba52a" xsi:nil="true"/>
  </documentManagement>
</p:properties>
</file>

<file path=customXml/itemProps1.xml><?xml version="1.0" encoding="utf-8"?>
<ds:datastoreItem xmlns:ds="http://schemas.openxmlformats.org/officeDocument/2006/customXml" ds:itemID="{937424E9-DB57-4F07-90C9-62D7512FCAED}"/>
</file>

<file path=customXml/itemProps2.xml><?xml version="1.0" encoding="utf-8"?>
<ds:datastoreItem xmlns:ds="http://schemas.openxmlformats.org/officeDocument/2006/customXml" ds:itemID="{2DB81638-2B30-4865-BF75-1DA23532F9F1}"/>
</file>

<file path=customXml/itemProps3.xml><?xml version="1.0" encoding="utf-8"?>
<ds:datastoreItem xmlns:ds="http://schemas.openxmlformats.org/officeDocument/2006/customXml" ds:itemID="{E497C486-3BE7-4AB4-A65B-9B9F104A51C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2026-03-17T15:37:42Z</dcterms:created>
  <dcterms:modified xsi:type="dcterms:W3CDTF">2026-03-17T15:37:42Z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0x01010051A4DA7255B28B4694770A53A5539B38</vt:lpwstr>
  </property>
</Properties>
</file>