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EC330" w14:textId="4EBD0598" w:rsidR="00C941D6" w:rsidRPr="00C941D6" w:rsidRDefault="00C941D6" w:rsidP="00090955">
      <w:pPr>
        <w:pStyle w:val="Heading1"/>
        <w:spacing w:before="120"/>
      </w:pPr>
      <w:r>
        <w:t>Demographics Radius Tool Documentation</w:t>
      </w:r>
    </w:p>
    <w:p w14:paraId="4F02810F" w14:textId="7351CEFD" w:rsidR="006868D3" w:rsidRPr="001E3F53" w:rsidRDefault="00000000">
      <w:pPr>
        <w:spacing w:after="80"/>
        <w:rPr>
          <w:rFonts w:ascii="Garamond" w:hAnsi="Garamond"/>
        </w:rPr>
      </w:pPr>
      <w:r w:rsidRPr="001E3F53">
        <w:rPr>
          <w:rFonts w:ascii="Garamond" w:hAnsi="Garamond"/>
          <w:i/>
          <w:iCs/>
          <w:sz w:val="24"/>
          <w:szCs w:val="24"/>
        </w:rPr>
        <w:t>How the Demographics Radius Tool Defines and Captures Population Data for 1, 5, and 10-Mile Radii</w:t>
      </w:r>
    </w:p>
    <w:p w14:paraId="4F02811E" w14:textId="6A3E3DE8" w:rsidR="006868D3" w:rsidRPr="001E3F53" w:rsidRDefault="00000000" w:rsidP="00C941D6">
      <w:pPr>
        <w:spacing w:after="480"/>
        <w:rPr>
          <w:rFonts w:ascii="Garamond" w:hAnsi="Garamond"/>
        </w:rPr>
      </w:pPr>
      <w:r w:rsidRPr="001E3F53">
        <w:rPr>
          <w:rFonts w:ascii="Garamond" w:hAnsi="Garamond"/>
          <w:sz w:val="18"/>
          <w:szCs w:val="18"/>
        </w:rPr>
        <w:t>Demographics Radius Tool  •  March 2026</w:t>
      </w:r>
    </w:p>
    <w:p w14:paraId="4F02811F" w14:textId="77777777" w:rsidR="006868D3" w:rsidRPr="001E3F53" w:rsidRDefault="00000000" w:rsidP="004C4D2A">
      <w:pPr>
        <w:pStyle w:val="Heading2"/>
      </w:pPr>
      <w:r w:rsidRPr="001E3F53">
        <w:t>1. Overview</w:t>
      </w:r>
    </w:p>
    <w:p w14:paraId="4F028120" w14:textId="3DB84B98" w:rsidR="006868D3" w:rsidRPr="007F77B8" w:rsidRDefault="00000000">
      <w:pPr>
        <w:spacing w:before="60" w:after="80"/>
        <w:rPr>
          <w:rFonts w:ascii="Garamond" w:hAnsi="Garamond"/>
          <w:sz w:val="22"/>
          <w:szCs w:val="22"/>
        </w:rPr>
      </w:pPr>
      <w:r w:rsidRPr="007F77B8">
        <w:rPr>
          <w:rFonts w:ascii="Garamond" w:hAnsi="Garamond"/>
          <w:sz w:val="22"/>
          <w:szCs w:val="22"/>
        </w:rPr>
        <w:t xml:space="preserve">The Demographics Radius Tool allows users to enter any U.S. address and retrieve American Community Survey (ACS) demographic data for the surrounding population within a selected radius of 1, 5, or 10 miles. Because Census data is published for fixed geographic boundaries rather than arbitrary circles, the tool uses a multi-step </w:t>
      </w:r>
      <w:r w:rsidR="004C4D2A" w:rsidRPr="007F77B8">
        <w:rPr>
          <w:rFonts w:ascii="Garamond" w:hAnsi="Garamond"/>
          <w:sz w:val="22"/>
          <w:szCs w:val="22"/>
        </w:rPr>
        <w:t>process</w:t>
      </w:r>
      <w:r w:rsidRPr="007F77B8">
        <w:rPr>
          <w:rFonts w:ascii="Garamond" w:hAnsi="Garamond"/>
          <w:sz w:val="22"/>
          <w:szCs w:val="22"/>
        </w:rPr>
        <w:t xml:space="preserve"> to approximate the population living within each radius.</w:t>
      </w:r>
    </w:p>
    <w:p w14:paraId="4F028121" w14:textId="77777777" w:rsidR="006868D3" w:rsidRPr="007F77B8" w:rsidRDefault="006868D3">
      <w:pPr>
        <w:spacing w:before="80"/>
        <w:rPr>
          <w:rFonts w:ascii="Garamond" w:hAnsi="Garamond"/>
          <w:sz w:val="22"/>
          <w:szCs w:val="22"/>
        </w:rPr>
      </w:pPr>
    </w:p>
    <w:p w14:paraId="4F028122" w14:textId="6C77AFD1" w:rsidR="006868D3" w:rsidRPr="007F77B8" w:rsidRDefault="00000000">
      <w:pPr>
        <w:spacing w:before="60" w:after="80"/>
        <w:rPr>
          <w:rFonts w:ascii="Garamond" w:hAnsi="Garamond"/>
          <w:sz w:val="22"/>
          <w:szCs w:val="22"/>
        </w:rPr>
      </w:pPr>
      <w:r w:rsidRPr="007F77B8">
        <w:rPr>
          <w:rFonts w:ascii="Garamond" w:hAnsi="Garamond"/>
          <w:sz w:val="22"/>
          <w:szCs w:val="22"/>
        </w:rPr>
        <w:t>This document describes that methodology</w:t>
      </w:r>
      <w:r w:rsidR="009C65C0">
        <w:rPr>
          <w:rFonts w:ascii="Garamond" w:hAnsi="Garamond"/>
          <w:sz w:val="22"/>
          <w:szCs w:val="22"/>
        </w:rPr>
        <w:t xml:space="preserve">, </w:t>
      </w:r>
      <w:r w:rsidRPr="007F77B8">
        <w:rPr>
          <w:rFonts w:ascii="Garamond" w:hAnsi="Garamond"/>
          <w:sz w:val="22"/>
          <w:szCs w:val="22"/>
        </w:rPr>
        <w:t>explains the data sources used, and notes the known limitations of each approach.</w:t>
      </w:r>
    </w:p>
    <w:p w14:paraId="4F028124" w14:textId="77777777" w:rsidR="006868D3" w:rsidRPr="001E3F53" w:rsidRDefault="00000000" w:rsidP="004C4D2A">
      <w:pPr>
        <w:pStyle w:val="Heading2"/>
      </w:pPr>
      <w:r w:rsidRPr="001E3F53">
        <w:t>2. Data Sources</w:t>
      </w:r>
    </w:p>
    <w:tbl>
      <w:tblPr>
        <w:tblStyle w:val="GridTable4-Accent1"/>
        <w:tblW w:w="9573" w:type="dxa"/>
        <w:tblLook w:val="04A0" w:firstRow="1" w:lastRow="0" w:firstColumn="1" w:lastColumn="0" w:noHBand="0" w:noVBand="1"/>
      </w:tblPr>
      <w:tblGrid>
        <w:gridCol w:w="2789"/>
        <w:gridCol w:w="6784"/>
      </w:tblGrid>
      <w:tr w:rsidR="007F77B8" w:rsidRPr="007F77B8" w14:paraId="4F028129" w14:textId="77777777" w:rsidTr="00933F84">
        <w:trPr>
          <w:cnfStyle w:val="100000000000" w:firstRow="1" w:lastRow="0" w:firstColumn="0" w:lastColumn="0" w:oddVBand="0" w:evenVBand="0" w:oddHBand="0" w:evenHBand="0" w:firstRowFirstColumn="0" w:firstRowLastColumn="0" w:lastRowFirstColumn="0" w:lastRowLastColumn="0"/>
          <w:trHeight w:val="208"/>
        </w:trPr>
        <w:tc>
          <w:tcPr>
            <w:cnfStyle w:val="001000000000" w:firstRow="0" w:lastRow="0" w:firstColumn="1" w:lastColumn="0" w:oddVBand="0" w:evenVBand="0" w:oddHBand="0" w:evenHBand="0" w:firstRowFirstColumn="0" w:firstRowLastColumn="0" w:lastRowFirstColumn="0" w:lastRowLastColumn="0"/>
            <w:tcW w:w="2789" w:type="dxa"/>
          </w:tcPr>
          <w:p w14:paraId="4F028126" w14:textId="77777777" w:rsidR="007F77B8" w:rsidRPr="007F77B8" w:rsidRDefault="007F77B8">
            <w:pPr>
              <w:rPr>
                <w:rFonts w:ascii="Garamond" w:hAnsi="Garamond"/>
                <w:sz w:val="22"/>
                <w:szCs w:val="22"/>
              </w:rPr>
            </w:pPr>
            <w:r w:rsidRPr="007F77B8">
              <w:rPr>
                <w:rFonts w:ascii="Garamond" w:hAnsi="Garamond"/>
                <w:sz w:val="22"/>
                <w:szCs w:val="22"/>
              </w:rPr>
              <w:t>Source</w:t>
            </w:r>
          </w:p>
        </w:tc>
        <w:tc>
          <w:tcPr>
            <w:tcW w:w="6784" w:type="dxa"/>
          </w:tcPr>
          <w:p w14:paraId="4F028127" w14:textId="77777777" w:rsidR="007F77B8" w:rsidRPr="007F77B8" w:rsidRDefault="007F77B8">
            <w:pPr>
              <w:cnfStyle w:val="100000000000" w:firstRow="1" w:lastRow="0" w:firstColumn="0" w:lastColumn="0" w:oddVBand="0" w:evenVBand="0" w:oddHBand="0" w:evenHBand="0" w:firstRowFirstColumn="0" w:firstRowLastColumn="0" w:lastRowFirstColumn="0" w:lastRowLastColumn="0"/>
              <w:rPr>
                <w:rFonts w:ascii="Garamond" w:hAnsi="Garamond"/>
                <w:sz w:val="22"/>
                <w:szCs w:val="22"/>
              </w:rPr>
            </w:pPr>
            <w:r w:rsidRPr="007F77B8">
              <w:rPr>
                <w:rFonts w:ascii="Garamond" w:hAnsi="Garamond"/>
                <w:sz w:val="22"/>
                <w:szCs w:val="22"/>
              </w:rPr>
              <w:t>What It Provides</w:t>
            </w:r>
          </w:p>
        </w:tc>
      </w:tr>
      <w:tr w:rsidR="007F77B8" w:rsidRPr="007F77B8" w14:paraId="4F02812D" w14:textId="77777777" w:rsidTr="00933F84">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789" w:type="dxa"/>
          </w:tcPr>
          <w:p w14:paraId="4F02812A" w14:textId="77777777" w:rsidR="007F77B8" w:rsidRPr="007F77B8" w:rsidRDefault="007F77B8">
            <w:pPr>
              <w:rPr>
                <w:rFonts w:ascii="Garamond" w:hAnsi="Garamond"/>
                <w:sz w:val="22"/>
                <w:szCs w:val="22"/>
              </w:rPr>
            </w:pPr>
            <w:r w:rsidRPr="007F77B8">
              <w:rPr>
                <w:rFonts w:ascii="Garamond" w:hAnsi="Garamond"/>
                <w:sz w:val="22"/>
                <w:szCs w:val="22"/>
              </w:rPr>
              <w:t>U.S. Census Bureau Geocoder</w:t>
            </w:r>
          </w:p>
        </w:tc>
        <w:tc>
          <w:tcPr>
            <w:tcW w:w="6784" w:type="dxa"/>
          </w:tcPr>
          <w:p w14:paraId="4CFC58C6" w14:textId="77777777" w:rsidR="007F77B8" w:rsidRPr="007F77B8" w:rsidRDefault="007F77B8">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7F77B8">
              <w:rPr>
                <w:rFonts w:ascii="Garamond" w:hAnsi="Garamond"/>
                <w:sz w:val="22"/>
                <w:szCs w:val="22"/>
              </w:rPr>
              <w:t>Primary geocoder: converts a street address into latitude/longitude coordinates and identifies the county and city</w:t>
            </w:r>
          </w:p>
          <w:p w14:paraId="4F02812B" w14:textId="058FFB49" w:rsidR="007F77B8" w:rsidRPr="007F77B8" w:rsidRDefault="007F77B8" w:rsidP="00746604">
            <w:pPr>
              <w:pStyle w:val="ListParagraph"/>
              <w:numPr>
                <w:ilvl w:val="0"/>
                <w:numId w:val="3"/>
              </w:num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7F77B8">
              <w:rPr>
                <w:rFonts w:ascii="Garamond" w:hAnsi="Garamond"/>
                <w:sz w:val="22"/>
                <w:szCs w:val="22"/>
              </w:rPr>
              <w:t xml:space="preserve">OpenStreetMap / </w:t>
            </w:r>
            <w:proofErr w:type="spellStart"/>
            <w:r w:rsidRPr="007F77B8">
              <w:rPr>
                <w:rFonts w:ascii="Garamond" w:hAnsi="Garamond"/>
                <w:sz w:val="22"/>
                <w:szCs w:val="22"/>
              </w:rPr>
              <w:t>Nominatium</w:t>
            </w:r>
            <w:proofErr w:type="spellEnd"/>
            <w:r w:rsidRPr="007F77B8">
              <w:rPr>
                <w:rFonts w:ascii="Garamond" w:hAnsi="Garamond"/>
                <w:sz w:val="22"/>
                <w:szCs w:val="22"/>
              </w:rPr>
              <w:t xml:space="preserve"> are used as a fallback if address cannot be found (e.g., rural roads, new streets)</w:t>
            </w:r>
          </w:p>
        </w:tc>
      </w:tr>
      <w:tr w:rsidR="007F77B8" w:rsidRPr="007F77B8" w14:paraId="4F028135" w14:textId="77777777" w:rsidTr="00933F84">
        <w:trPr>
          <w:trHeight w:val="791"/>
        </w:trPr>
        <w:tc>
          <w:tcPr>
            <w:cnfStyle w:val="001000000000" w:firstRow="0" w:lastRow="0" w:firstColumn="1" w:lastColumn="0" w:oddVBand="0" w:evenVBand="0" w:oddHBand="0" w:evenHBand="0" w:firstRowFirstColumn="0" w:firstRowLastColumn="0" w:lastRowFirstColumn="0" w:lastRowLastColumn="0"/>
            <w:tcW w:w="2789" w:type="dxa"/>
          </w:tcPr>
          <w:p w14:paraId="4F028132" w14:textId="77777777" w:rsidR="007F77B8" w:rsidRPr="007F77B8" w:rsidRDefault="007F77B8">
            <w:pPr>
              <w:rPr>
                <w:rFonts w:ascii="Garamond" w:hAnsi="Garamond"/>
                <w:sz w:val="22"/>
                <w:szCs w:val="22"/>
              </w:rPr>
            </w:pPr>
            <w:r w:rsidRPr="007F77B8">
              <w:rPr>
                <w:rFonts w:ascii="Garamond" w:hAnsi="Garamond"/>
                <w:sz w:val="22"/>
                <w:szCs w:val="22"/>
              </w:rPr>
              <w:t>Census TIGER/Line Database</w:t>
            </w:r>
          </w:p>
        </w:tc>
        <w:tc>
          <w:tcPr>
            <w:tcW w:w="6784" w:type="dxa"/>
          </w:tcPr>
          <w:p w14:paraId="41B15967" w14:textId="77777777" w:rsidR="007F77B8" w:rsidRDefault="007F77B8">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7F77B8">
              <w:rPr>
                <w:rFonts w:ascii="Garamond" w:hAnsi="Garamond"/>
                <w:sz w:val="22"/>
                <w:szCs w:val="22"/>
              </w:rPr>
              <w:t>Actual polygon boundaries and official interior points for every Census block group. Fetched in paginated batches of 500 with an 8-second timeout per page.</w:t>
            </w:r>
          </w:p>
          <w:p w14:paraId="4F028133" w14:textId="4873E0A5" w:rsidR="0039564E" w:rsidRPr="0039564E" w:rsidRDefault="0039564E" w:rsidP="0039564E">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7F77B8">
              <w:rPr>
                <w:rFonts w:ascii="Garamond" w:hAnsi="Garamond"/>
                <w:sz w:val="22"/>
                <w:szCs w:val="22"/>
              </w:rPr>
              <w:t>Fallback source of block group interior points if the TIGER polygon fetch fails or times out</w:t>
            </w:r>
          </w:p>
        </w:tc>
      </w:tr>
      <w:tr w:rsidR="007F77B8" w:rsidRPr="007F77B8" w14:paraId="4F02813D" w14:textId="77777777" w:rsidTr="00933F84">
        <w:trPr>
          <w:cnfStyle w:val="000000100000" w:firstRow="0" w:lastRow="0" w:firstColumn="0" w:lastColumn="0" w:oddVBand="0" w:evenVBand="0" w:oddHBand="1" w:evenHBand="0" w:firstRowFirstColumn="0" w:firstRowLastColumn="0" w:lastRowFirstColumn="0" w:lastRowLastColumn="0"/>
          <w:trHeight w:val="597"/>
        </w:trPr>
        <w:tc>
          <w:tcPr>
            <w:cnfStyle w:val="001000000000" w:firstRow="0" w:lastRow="0" w:firstColumn="1" w:lastColumn="0" w:oddVBand="0" w:evenVBand="0" w:oddHBand="0" w:evenHBand="0" w:firstRowFirstColumn="0" w:firstRowLastColumn="0" w:lastRowFirstColumn="0" w:lastRowLastColumn="0"/>
            <w:tcW w:w="2789" w:type="dxa"/>
          </w:tcPr>
          <w:p w14:paraId="4F02813A" w14:textId="77777777" w:rsidR="007F77B8" w:rsidRPr="007F77B8" w:rsidRDefault="007F77B8">
            <w:pPr>
              <w:rPr>
                <w:rFonts w:ascii="Garamond" w:hAnsi="Garamond"/>
                <w:sz w:val="22"/>
                <w:szCs w:val="22"/>
              </w:rPr>
            </w:pPr>
            <w:r w:rsidRPr="007F77B8">
              <w:rPr>
                <w:rFonts w:ascii="Garamond" w:hAnsi="Garamond"/>
                <w:sz w:val="22"/>
                <w:szCs w:val="22"/>
              </w:rPr>
              <w:t>ACS 5-Year Estimates</w:t>
            </w:r>
          </w:p>
        </w:tc>
        <w:tc>
          <w:tcPr>
            <w:tcW w:w="6784" w:type="dxa"/>
          </w:tcPr>
          <w:p w14:paraId="4F02813B" w14:textId="77777777" w:rsidR="007F77B8" w:rsidRPr="007F77B8" w:rsidRDefault="007F77B8">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7F77B8">
              <w:rPr>
                <w:rFonts w:ascii="Garamond" w:hAnsi="Garamond"/>
                <w:sz w:val="22"/>
                <w:szCs w:val="22"/>
              </w:rPr>
              <w:t>Demographic data (age, race, income, poverty, education) at the block group level. Available for years 2013–2024.</w:t>
            </w:r>
          </w:p>
        </w:tc>
      </w:tr>
      <w:tr w:rsidR="007F77B8" w:rsidRPr="007F77B8" w14:paraId="4F028141" w14:textId="77777777" w:rsidTr="00933F84">
        <w:trPr>
          <w:trHeight w:val="403"/>
        </w:trPr>
        <w:tc>
          <w:tcPr>
            <w:cnfStyle w:val="001000000000" w:firstRow="0" w:lastRow="0" w:firstColumn="1" w:lastColumn="0" w:oddVBand="0" w:evenVBand="0" w:oddHBand="0" w:evenHBand="0" w:firstRowFirstColumn="0" w:firstRowLastColumn="0" w:lastRowFirstColumn="0" w:lastRowLastColumn="0"/>
            <w:tcW w:w="2789" w:type="dxa"/>
          </w:tcPr>
          <w:p w14:paraId="4F02813E" w14:textId="77777777" w:rsidR="007F77B8" w:rsidRPr="007F77B8" w:rsidRDefault="007F77B8">
            <w:pPr>
              <w:rPr>
                <w:rFonts w:ascii="Garamond" w:hAnsi="Garamond"/>
                <w:sz w:val="22"/>
                <w:szCs w:val="22"/>
              </w:rPr>
            </w:pPr>
            <w:r w:rsidRPr="007F77B8">
              <w:rPr>
                <w:rFonts w:ascii="Garamond" w:hAnsi="Garamond"/>
                <w:sz w:val="22"/>
                <w:szCs w:val="22"/>
              </w:rPr>
              <w:t>CARTO / OpenStreetMap Tiles</w:t>
            </w:r>
          </w:p>
        </w:tc>
        <w:tc>
          <w:tcPr>
            <w:tcW w:w="6784" w:type="dxa"/>
          </w:tcPr>
          <w:p w14:paraId="4F02813F" w14:textId="77777777" w:rsidR="007F77B8" w:rsidRPr="007F77B8" w:rsidRDefault="007F77B8">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7F77B8">
              <w:rPr>
                <w:rFonts w:ascii="Garamond" w:hAnsi="Garamond"/>
                <w:sz w:val="22"/>
                <w:szCs w:val="22"/>
              </w:rPr>
              <w:t>Base map displayed to the user</w:t>
            </w:r>
          </w:p>
        </w:tc>
      </w:tr>
    </w:tbl>
    <w:p w14:paraId="4F028142" w14:textId="77777777" w:rsidR="006868D3" w:rsidRPr="001E3F53" w:rsidRDefault="006868D3">
      <w:pPr>
        <w:spacing w:before="160"/>
        <w:rPr>
          <w:rFonts w:ascii="Garamond" w:hAnsi="Garamond"/>
        </w:rPr>
      </w:pPr>
    </w:p>
    <w:p w14:paraId="4F028143" w14:textId="77777777" w:rsidR="006868D3" w:rsidRPr="001E3F53" w:rsidRDefault="00000000" w:rsidP="00090955">
      <w:pPr>
        <w:pStyle w:val="Heading2"/>
      </w:pPr>
      <w:r w:rsidRPr="001E3F53">
        <w:t>3. How a Radius Query Works: Step by Step</w:t>
      </w:r>
    </w:p>
    <w:p w14:paraId="4F028145" w14:textId="1652592E" w:rsidR="006868D3" w:rsidRPr="0039564E" w:rsidRDefault="00000000" w:rsidP="0039564E">
      <w:pPr>
        <w:spacing w:before="60" w:after="80"/>
        <w:rPr>
          <w:rFonts w:ascii="Garamond" w:hAnsi="Garamond"/>
          <w:sz w:val="22"/>
          <w:szCs w:val="22"/>
        </w:rPr>
      </w:pPr>
      <w:r w:rsidRPr="0039564E">
        <w:rPr>
          <w:rFonts w:ascii="Garamond" w:hAnsi="Garamond"/>
          <w:sz w:val="22"/>
          <w:szCs w:val="22"/>
        </w:rPr>
        <w:t>When a user enters an address, selects a radius, and clicks “Get Demographics,” the tool executes the following steps in sequence:</w:t>
      </w:r>
    </w:p>
    <w:p w14:paraId="4F028146" w14:textId="77777777" w:rsidR="006868D3" w:rsidRPr="0039564E" w:rsidRDefault="00000000">
      <w:pPr>
        <w:spacing w:before="200" w:after="80"/>
        <w:rPr>
          <w:rFonts w:ascii="Garamond" w:hAnsi="Garamond"/>
          <w:sz w:val="22"/>
          <w:szCs w:val="22"/>
        </w:rPr>
      </w:pPr>
      <w:r w:rsidRPr="0039564E">
        <w:rPr>
          <w:rFonts w:ascii="Garamond" w:hAnsi="Garamond"/>
          <w:b/>
          <w:bCs/>
          <w:sz w:val="22"/>
          <w:szCs w:val="22"/>
        </w:rPr>
        <w:t>Step 1 — Geocode the Address</w:t>
      </w:r>
    </w:p>
    <w:p w14:paraId="4F028148" w14:textId="512C6132" w:rsidR="006868D3" w:rsidRPr="0039564E" w:rsidRDefault="00000000" w:rsidP="00413C28">
      <w:pPr>
        <w:spacing w:before="60" w:after="80"/>
        <w:rPr>
          <w:rFonts w:ascii="Garamond" w:hAnsi="Garamond"/>
          <w:sz w:val="22"/>
          <w:szCs w:val="22"/>
        </w:rPr>
      </w:pPr>
      <w:r w:rsidRPr="0039564E">
        <w:rPr>
          <w:rFonts w:ascii="Garamond" w:hAnsi="Garamond"/>
          <w:sz w:val="22"/>
          <w:szCs w:val="22"/>
        </w:rPr>
        <w:t xml:space="preserve">The entered address is first sent to the U.S. Census Bureau Geocoder. If the Census geocoder cannot match the address — which is common for rural roads, recently built streets, or informal address formats — the tool automatically falls back to the </w:t>
      </w:r>
      <w:proofErr w:type="spellStart"/>
      <w:r w:rsidRPr="0039564E">
        <w:rPr>
          <w:rFonts w:ascii="Garamond" w:hAnsi="Garamond"/>
          <w:sz w:val="22"/>
          <w:szCs w:val="22"/>
        </w:rPr>
        <w:t>Nominatim</w:t>
      </w:r>
      <w:proofErr w:type="spellEnd"/>
      <w:r w:rsidRPr="0039564E">
        <w:rPr>
          <w:rFonts w:ascii="Garamond" w:hAnsi="Garamond"/>
          <w:sz w:val="22"/>
          <w:szCs w:val="22"/>
        </w:rPr>
        <w:t xml:space="preserve"> geocoder powered by OpenStreetMap.</w:t>
      </w:r>
    </w:p>
    <w:p w14:paraId="4F02814D" w14:textId="44A5FAC4" w:rsidR="006868D3" w:rsidRPr="0039564E" w:rsidRDefault="00000000">
      <w:pPr>
        <w:spacing w:before="200" w:after="80"/>
        <w:rPr>
          <w:rFonts w:ascii="Garamond" w:hAnsi="Garamond"/>
          <w:sz w:val="22"/>
          <w:szCs w:val="22"/>
        </w:rPr>
      </w:pPr>
      <w:r w:rsidRPr="0039564E">
        <w:rPr>
          <w:rFonts w:ascii="Garamond" w:hAnsi="Garamond"/>
          <w:b/>
          <w:bCs/>
          <w:sz w:val="22"/>
          <w:szCs w:val="22"/>
        </w:rPr>
        <w:t>Step 2 — Identify the County and City</w:t>
      </w:r>
    </w:p>
    <w:p w14:paraId="4F02814E" w14:textId="77777777" w:rsidR="006868D3" w:rsidRPr="0039564E" w:rsidRDefault="00000000">
      <w:pPr>
        <w:spacing w:before="60" w:after="80"/>
        <w:rPr>
          <w:rFonts w:ascii="Garamond" w:hAnsi="Garamond"/>
          <w:sz w:val="22"/>
          <w:szCs w:val="22"/>
        </w:rPr>
      </w:pPr>
      <w:r w:rsidRPr="0039564E">
        <w:rPr>
          <w:rFonts w:ascii="Garamond" w:hAnsi="Garamond"/>
          <w:sz w:val="22"/>
          <w:szCs w:val="22"/>
        </w:rPr>
        <w:t>The tool calls the Census geocoder’s geography lookup endpoint with the resolved latitude/longitude to identify which county and city (incorporated place or Census-designated place) the address falls in. This returns the state and county FIPS codes needed to query ACS data. If the address is in an unincorporated area with no named place, the city comparison column in the results table is omitted.</w:t>
      </w:r>
    </w:p>
    <w:p w14:paraId="4F028150" w14:textId="77777777" w:rsidR="006868D3" w:rsidRPr="0039564E" w:rsidRDefault="00000000">
      <w:pPr>
        <w:spacing w:before="200" w:after="80"/>
        <w:rPr>
          <w:rFonts w:ascii="Garamond" w:hAnsi="Garamond"/>
          <w:sz w:val="22"/>
          <w:szCs w:val="22"/>
        </w:rPr>
      </w:pPr>
      <w:r w:rsidRPr="0039564E">
        <w:rPr>
          <w:rFonts w:ascii="Garamond" w:hAnsi="Garamond"/>
          <w:b/>
          <w:bCs/>
          <w:sz w:val="22"/>
          <w:szCs w:val="22"/>
        </w:rPr>
        <w:lastRenderedPageBreak/>
        <w:t>Step 3 — Fetch Block Group Boundaries from TIGER</w:t>
      </w:r>
    </w:p>
    <w:p w14:paraId="4F028151" w14:textId="77777777" w:rsidR="006868D3" w:rsidRPr="0039564E" w:rsidRDefault="00000000">
      <w:pPr>
        <w:spacing w:before="60" w:after="80"/>
        <w:rPr>
          <w:rFonts w:ascii="Garamond" w:hAnsi="Garamond"/>
          <w:sz w:val="22"/>
          <w:szCs w:val="22"/>
        </w:rPr>
      </w:pPr>
      <w:r w:rsidRPr="0039564E">
        <w:rPr>
          <w:rFonts w:ascii="Garamond" w:hAnsi="Garamond"/>
          <w:sz w:val="22"/>
          <w:szCs w:val="22"/>
        </w:rPr>
        <w:t>The tool queries the Census TIGER/Line web service to retrieve the actual polygon boundaries for every Census block group in the county. Each block group record includes the full boundary polygon as a series of coordinate rings, and an official interior point (INTPTLAT/INTPTLON) guaranteed to lie within the polygon.</w:t>
      </w:r>
    </w:p>
    <w:p w14:paraId="4F02815D" w14:textId="77777777" w:rsidR="006868D3" w:rsidRPr="0039564E" w:rsidRDefault="00000000">
      <w:pPr>
        <w:spacing w:before="200" w:after="80"/>
        <w:rPr>
          <w:rFonts w:ascii="Garamond" w:hAnsi="Garamond"/>
          <w:sz w:val="22"/>
          <w:szCs w:val="22"/>
        </w:rPr>
      </w:pPr>
      <w:r w:rsidRPr="0039564E">
        <w:rPr>
          <w:rFonts w:ascii="Garamond" w:hAnsi="Garamond"/>
          <w:b/>
          <w:bCs/>
          <w:sz w:val="22"/>
          <w:szCs w:val="22"/>
        </w:rPr>
        <w:t>Step 4 — Determine Which Block Groups Overlap the Radius</w:t>
      </w:r>
    </w:p>
    <w:p w14:paraId="7F676E45" w14:textId="4987CAAA" w:rsidR="00661B64" w:rsidRDefault="00000000">
      <w:pPr>
        <w:spacing w:before="60" w:after="80"/>
        <w:rPr>
          <w:rFonts w:ascii="Garamond" w:hAnsi="Garamond"/>
          <w:sz w:val="22"/>
          <w:szCs w:val="22"/>
        </w:rPr>
      </w:pPr>
      <w:r w:rsidRPr="0039564E">
        <w:rPr>
          <w:rFonts w:ascii="Garamond" w:hAnsi="Garamond"/>
          <w:sz w:val="22"/>
          <w:szCs w:val="22"/>
        </w:rPr>
        <w:t xml:space="preserve">The tool </w:t>
      </w:r>
      <w:r w:rsidR="00661B64">
        <w:rPr>
          <w:rFonts w:ascii="Garamond" w:hAnsi="Garamond"/>
          <w:sz w:val="22"/>
          <w:szCs w:val="22"/>
        </w:rPr>
        <w:t>identifies blocks to be included if they meet one of the following three conditions</w:t>
      </w:r>
      <w:r w:rsidR="004E2A4F">
        <w:rPr>
          <w:rFonts w:ascii="Garamond" w:hAnsi="Garamond"/>
          <w:sz w:val="22"/>
          <w:szCs w:val="22"/>
        </w:rPr>
        <w:t xml:space="preserve">. </w:t>
      </w:r>
    </w:p>
    <w:p w14:paraId="4F02815F" w14:textId="77777777" w:rsidR="006868D3" w:rsidRPr="0039564E" w:rsidRDefault="006868D3">
      <w:pPr>
        <w:spacing w:before="80"/>
        <w:rPr>
          <w:rFonts w:ascii="Garamond" w:hAnsi="Garamond"/>
          <w:sz w:val="22"/>
          <w:szCs w:val="22"/>
        </w:rPr>
      </w:pPr>
    </w:p>
    <w:tbl>
      <w:tblPr>
        <w:tblStyle w:val="GridTable4-Accent1"/>
        <w:tblW w:w="9360" w:type="dxa"/>
        <w:tblLook w:val="04A0" w:firstRow="1" w:lastRow="0" w:firstColumn="1" w:lastColumn="0" w:noHBand="0" w:noVBand="1"/>
      </w:tblPr>
      <w:tblGrid>
        <w:gridCol w:w="664"/>
        <w:gridCol w:w="1790"/>
        <w:gridCol w:w="3454"/>
        <w:gridCol w:w="3452"/>
      </w:tblGrid>
      <w:tr w:rsidR="001E3F53" w:rsidRPr="0039564E" w14:paraId="4F028164" w14:textId="77777777" w:rsidTr="00933F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4" w:type="dxa"/>
          </w:tcPr>
          <w:p w14:paraId="4F028160" w14:textId="77777777" w:rsidR="006868D3" w:rsidRPr="00326308" w:rsidRDefault="00000000">
            <w:pPr>
              <w:rPr>
                <w:rFonts w:ascii="Garamond" w:hAnsi="Garamond"/>
                <w:sz w:val="22"/>
                <w:szCs w:val="22"/>
              </w:rPr>
            </w:pPr>
            <w:r w:rsidRPr="00326308">
              <w:rPr>
                <w:rFonts w:ascii="Garamond" w:hAnsi="Garamond"/>
                <w:sz w:val="22"/>
                <w:szCs w:val="22"/>
              </w:rPr>
              <w:t>Pass</w:t>
            </w:r>
          </w:p>
        </w:tc>
        <w:tc>
          <w:tcPr>
            <w:tcW w:w="1790" w:type="dxa"/>
          </w:tcPr>
          <w:p w14:paraId="4F028161" w14:textId="77777777" w:rsidR="006868D3" w:rsidRPr="00326308" w:rsidRDefault="00000000">
            <w:pPr>
              <w:cnfStyle w:val="100000000000" w:firstRow="1" w:lastRow="0" w:firstColumn="0" w:lastColumn="0" w:oddVBand="0" w:evenVBand="0" w:oddHBand="0" w:evenHBand="0" w:firstRowFirstColumn="0" w:firstRowLastColumn="0" w:lastRowFirstColumn="0" w:lastRowLastColumn="0"/>
              <w:rPr>
                <w:rFonts w:ascii="Garamond" w:hAnsi="Garamond"/>
                <w:sz w:val="22"/>
                <w:szCs w:val="22"/>
              </w:rPr>
            </w:pPr>
            <w:r w:rsidRPr="00326308">
              <w:rPr>
                <w:rFonts w:ascii="Garamond" w:hAnsi="Garamond"/>
                <w:sz w:val="22"/>
                <w:szCs w:val="22"/>
              </w:rPr>
              <w:t>Method</w:t>
            </w:r>
          </w:p>
        </w:tc>
        <w:tc>
          <w:tcPr>
            <w:tcW w:w="3454" w:type="dxa"/>
          </w:tcPr>
          <w:p w14:paraId="4F028162" w14:textId="77777777" w:rsidR="006868D3" w:rsidRPr="00326308" w:rsidRDefault="00000000">
            <w:pPr>
              <w:cnfStyle w:val="100000000000" w:firstRow="1" w:lastRow="0" w:firstColumn="0" w:lastColumn="0" w:oddVBand="0" w:evenVBand="0" w:oddHBand="0" w:evenHBand="0" w:firstRowFirstColumn="0" w:firstRowLastColumn="0" w:lastRowFirstColumn="0" w:lastRowLastColumn="0"/>
              <w:rPr>
                <w:rFonts w:ascii="Garamond" w:hAnsi="Garamond"/>
                <w:sz w:val="22"/>
                <w:szCs w:val="22"/>
              </w:rPr>
            </w:pPr>
            <w:r w:rsidRPr="00326308">
              <w:rPr>
                <w:rFonts w:ascii="Garamond" w:hAnsi="Garamond"/>
                <w:sz w:val="22"/>
                <w:szCs w:val="22"/>
              </w:rPr>
              <w:t>Condition for Inclusion</w:t>
            </w:r>
          </w:p>
        </w:tc>
        <w:tc>
          <w:tcPr>
            <w:tcW w:w="3452" w:type="dxa"/>
          </w:tcPr>
          <w:p w14:paraId="4F028163" w14:textId="77777777" w:rsidR="006868D3" w:rsidRPr="00326308" w:rsidRDefault="00000000">
            <w:pPr>
              <w:cnfStyle w:val="100000000000" w:firstRow="1" w:lastRow="0" w:firstColumn="0" w:lastColumn="0" w:oddVBand="0" w:evenVBand="0" w:oddHBand="0" w:evenHBand="0" w:firstRowFirstColumn="0" w:firstRowLastColumn="0" w:lastRowFirstColumn="0" w:lastRowLastColumn="0"/>
              <w:rPr>
                <w:rFonts w:ascii="Garamond" w:hAnsi="Garamond"/>
                <w:sz w:val="22"/>
                <w:szCs w:val="22"/>
              </w:rPr>
            </w:pPr>
            <w:r w:rsidRPr="00326308">
              <w:rPr>
                <w:rFonts w:ascii="Garamond" w:hAnsi="Garamond"/>
                <w:sz w:val="22"/>
                <w:szCs w:val="22"/>
              </w:rPr>
              <w:t>When It Matters Most</w:t>
            </w:r>
          </w:p>
        </w:tc>
      </w:tr>
      <w:tr w:rsidR="001E3F53" w:rsidRPr="0039564E" w14:paraId="4F028169" w14:textId="77777777" w:rsidTr="0093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4" w:type="dxa"/>
          </w:tcPr>
          <w:p w14:paraId="4F028165" w14:textId="6D1E4C3C" w:rsidR="006868D3" w:rsidRPr="0039564E" w:rsidRDefault="00000000">
            <w:pPr>
              <w:rPr>
                <w:rFonts w:ascii="Garamond" w:hAnsi="Garamond"/>
                <w:sz w:val="22"/>
                <w:szCs w:val="22"/>
              </w:rPr>
            </w:pPr>
            <w:r w:rsidRPr="0039564E">
              <w:rPr>
                <w:rFonts w:ascii="Garamond" w:hAnsi="Garamond"/>
                <w:sz w:val="22"/>
                <w:szCs w:val="22"/>
              </w:rPr>
              <w:t>1</w:t>
            </w:r>
            <w:r w:rsidR="00292E85">
              <w:rPr>
                <w:rFonts w:ascii="Garamond" w:hAnsi="Garamond"/>
                <w:b w:val="0"/>
                <w:bCs w:val="0"/>
                <w:sz w:val="22"/>
                <w:szCs w:val="22"/>
              </w:rPr>
              <w:t>a</w:t>
            </w:r>
          </w:p>
        </w:tc>
        <w:tc>
          <w:tcPr>
            <w:tcW w:w="1790" w:type="dxa"/>
          </w:tcPr>
          <w:p w14:paraId="4F028166" w14:textId="77777777" w:rsidR="006868D3" w:rsidRPr="0039564E"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39564E">
              <w:rPr>
                <w:rFonts w:ascii="Garamond" w:hAnsi="Garamond"/>
                <w:b/>
                <w:bCs/>
                <w:sz w:val="22"/>
                <w:szCs w:val="22"/>
              </w:rPr>
              <w:t>Centroid check</w:t>
            </w:r>
          </w:p>
        </w:tc>
        <w:tc>
          <w:tcPr>
            <w:tcW w:w="3454" w:type="dxa"/>
          </w:tcPr>
          <w:p w14:paraId="4DF8002D" w14:textId="744ADF5D" w:rsidR="00326308" w:rsidRDefault="00F60425">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Pr>
                <w:rFonts w:ascii="Garamond" w:hAnsi="Garamond"/>
                <w:sz w:val="22"/>
                <w:szCs w:val="22"/>
              </w:rPr>
              <w:t>T</w:t>
            </w:r>
            <w:r w:rsidR="00326308">
              <w:rPr>
                <w:rFonts w:ascii="Garamond" w:hAnsi="Garamond"/>
                <w:sz w:val="22"/>
                <w:szCs w:val="22"/>
              </w:rPr>
              <w:t xml:space="preserve">he system </w:t>
            </w:r>
            <w:r w:rsidR="0076678D">
              <w:rPr>
                <w:rFonts w:ascii="Garamond" w:hAnsi="Garamond"/>
                <w:sz w:val="22"/>
                <w:szCs w:val="22"/>
              </w:rPr>
              <w:t xml:space="preserve">identifies any census block groups with center points that are within the </w:t>
            </w:r>
            <w:r w:rsidR="0076678D">
              <w:rPr>
                <w:rFonts w:ascii="Garamond" w:hAnsi="Garamond"/>
                <w:sz w:val="22"/>
                <w:szCs w:val="22"/>
              </w:rPr>
              <w:t>selected radius (e.g., 1 mile, 5 miles, or 10 miles)</w:t>
            </w:r>
            <w:r w:rsidR="0076678D">
              <w:rPr>
                <w:rFonts w:ascii="Garamond" w:hAnsi="Garamond"/>
                <w:sz w:val="22"/>
                <w:szCs w:val="22"/>
              </w:rPr>
              <w:t xml:space="preserve"> of</w:t>
            </w:r>
            <w:r w:rsidR="00326308">
              <w:rPr>
                <w:rFonts w:ascii="Garamond" w:hAnsi="Garamond"/>
                <w:sz w:val="22"/>
                <w:szCs w:val="22"/>
              </w:rPr>
              <w:t xml:space="preserve"> the inputted address</w:t>
            </w:r>
            <w:r w:rsidR="0076678D">
              <w:rPr>
                <w:rFonts w:ascii="Garamond" w:hAnsi="Garamond"/>
                <w:sz w:val="22"/>
                <w:szCs w:val="22"/>
              </w:rPr>
              <w:t xml:space="preserve">. </w:t>
            </w:r>
            <w:r w:rsidR="00326308">
              <w:rPr>
                <w:rFonts w:ascii="Garamond" w:hAnsi="Garamond"/>
                <w:sz w:val="22"/>
                <w:szCs w:val="22"/>
              </w:rPr>
              <w:t xml:space="preserve"> </w:t>
            </w:r>
          </w:p>
          <w:p w14:paraId="4F028167" w14:textId="233164AF" w:rsidR="006868D3" w:rsidRPr="0039564E" w:rsidRDefault="006868D3">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p>
        </w:tc>
        <w:tc>
          <w:tcPr>
            <w:tcW w:w="3452" w:type="dxa"/>
          </w:tcPr>
          <w:p w14:paraId="4F028168" w14:textId="77777777" w:rsidR="006868D3" w:rsidRPr="0039564E"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39564E">
              <w:rPr>
                <w:rFonts w:ascii="Garamond" w:hAnsi="Garamond"/>
                <w:sz w:val="22"/>
                <w:szCs w:val="22"/>
              </w:rPr>
              <w:t>Urban and suburban areas where block groups are small and densely packed</w:t>
            </w:r>
          </w:p>
        </w:tc>
      </w:tr>
      <w:tr w:rsidR="001E3F53" w:rsidRPr="0039564E" w14:paraId="4F02816E" w14:textId="77777777" w:rsidTr="00933F84">
        <w:tc>
          <w:tcPr>
            <w:cnfStyle w:val="001000000000" w:firstRow="0" w:lastRow="0" w:firstColumn="1" w:lastColumn="0" w:oddVBand="0" w:evenVBand="0" w:oddHBand="0" w:evenHBand="0" w:firstRowFirstColumn="0" w:firstRowLastColumn="0" w:lastRowFirstColumn="0" w:lastRowLastColumn="0"/>
            <w:tcW w:w="664" w:type="dxa"/>
          </w:tcPr>
          <w:p w14:paraId="4F02816A" w14:textId="407159E0" w:rsidR="006868D3" w:rsidRPr="0039564E" w:rsidRDefault="00292E85">
            <w:pPr>
              <w:rPr>
                <w:rFonts w:ascii="Garamond" w:hAnsi="Garamond"/>
                <w:sz w:val="22"/>
                <w:szCs w:val="22"/>
              </w:rPr>
            </w:pPr>
            <w:r>
              <w:rPr>
                <w:rFonts w:ascii="Garamond" w:hAnsi="Garamond"/>
                <w:sz w:val="22"/>
                <w:szCs w:val="22"/>
              </w:rPr>
              <w:t>1b</w:t>
            </w:r>
          </w:p>
        </w:tc>
        <w:tc>
          <w:tcPr>
            <w:tcW w:w="1790" w:type="dxa"/>
          </w:tcPr>
          <w:p w14:paraId="4F02816B" w14:textId="77777777" w:rsidR="006868D3" w:rsidRPr="0039564E" w:rsidRDefault="00000000">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39564E">
              <w:rPr>
                <w:rFonts w:ascii="Garamond" w:hAnsi="Garamond"/>
                <w:b/>
                <w:bCs/>
                <w:sz w:val="22"/>
                <w:szCs w:val="22"/>
              </w:rPr>
              <w:t>Vertex check</w:t>
            </w:r>
          </w:p>
        </w:tc>
        <w:tc>
          <w:tcPr>
            <w:tcW w:w="3454" w:type="dxa"/>
          </w:tcPr>
          <w:p w14:paraId="4F02816C" w14:textId="1AEDE66B" w:rsidR="006868D3" w:rsidRPr="0039564E" w:rsidRDefault="00F60425">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Pr>
                <w:rFonts w:ascii="Garamond" w:hAnsi="Garamond"/>
                <w:sz w:val="22"/>
                <w:szCs w:val="22"/>
              </w:rPr>
              <w:t xml:space="preserve">The system identifies any census block groups </w:t>
            </w:r>
            <w:r w:rsidR="00395373">
              <w:rPr>
                <w:rFonts w:ascii="Garamond" w:hAnsi="Garamond"/>
                <w:sz w:val="22"/>
                <w:szCs w:val="22"/>
              </w:rPr>
              <w:t>that overlap</w:t>
            </w:r>
            <w:r>
              <w:rPr>
                <w:rFonts w:ascii="Garamond" w:hAnsi="Garamond"/>
                <w:sz w:val="22"/>
                <w:szCs w:val="22"/>
              </w:rPr>
              <w:t xml:space="preserve"> </w:t>
            </w:r>
            <w:r w:rsidR="00395373">
              <w:rPr>
                <w:rFonts w:ascii="Garamond" w:hAnsi="Garamond"/>
                <w:sz w:val="22"/>
                <w:szCs w:val="22"/>
              </w:rPr>
              <w:t>with</w:t>
            </w:r>
            <w:r>
              <w:rPr>
                <w:rFonts w:ascii="Garamond" w:hAnsi="Garamond"/>
                <w:sz w:val="22"/>
                <w:szCs w:val="22"/>
              </w:rPr>
              <w:t xml:space="preserve"> the selected radius (e.g., 1 mile, 5 miles, or 10 miles) of the inputted address. </w:t>
            </w:r>
            <w:r w:rsidR="00395373">
              <w:rPr>
                <w:rFonts w:ascii="Garamond" w:hAnsi="Garamond"/>
                <w:sz w:val="22"/>
                <w:szCs w:val="22"/>
              </w:rPr>
              <w:t xml:space="preserve">This includes block groups </w:t>
            </w:r>
            <w:r w:rsidR="00B06CE4">
              <w:rPr>
                <w:rFonts w:ascii="Garamond" w:hAnsi="Garamond"/>
                <w:sz w:val="22"/>
                <w:szCs w:val="22"/>
              </w:rPr>
              <w:t>that overlap with the radius but whose center point does not.</w:t>
            </w:r>
            <w:r>
              <w:rPr>
                <w:rFonts w:ascii="Garamond" w:hAnsi="Garamond"/>
                <w:sz w:val="22"/>
                <w:szCs w:val="22"/>
              </w:rPr>
              <w:t xml:space="preserve"> </w:t>
            </w:r>
          </w:p>
        </w:tc>
        <w:tc>
          <w:tcPr>
            <w:tcW w:w="3452" w:type="dxa"/>
          </w:tcPr>
          <w:p w14:paraId="4F02816D" w14:textId="77777777" w:rsidR="006868D3" w:rsidRPr="0039564E" w:rsidRDefault="00000000">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39564E">
              <w:rPr>
                <w:rFonts w:ascii="Garamond" w:hAnsi="Garamond"/>
                <w:sz w:val="22"/>
                <w:szCs w:val="22"/>
              </w:rPr>
              <w:t xml:space="preserve">Block groups that straddle the radius boundary — their centroid may be </w:t>
            </w:r>
            <w:proofErr w:type="gramStart"/>
            <w:r w:rsidRPr="0039564E">
              <w:rPr>
                <w:rFonts w:ascii="Garamond" w:hAnsi="Garamond"/>
                <w:sz w:val="22"/>
                <w:szCs w:val="22"/>
              </w:rPr>
              <w:t>outside</w:t>
            </w:r>
            <w:proofErr w:type="gramEnd"/>
            <w:r w:rsidRPr="0039564E">
              <w:rPr>
                <w:rFonts w:ascii="Garamond" w:hAnsi="Garamond"/>
                <w:sz w:val="22"/>
                <w:szCs w:val="22"/>
              </w:rPr>
              <w:t xml:space="preserve"> but part of their area is inside</w:t>
            </w:r>
          </w:p>
        </w:tc>
      </w:tr>
      <w:tr w:rsidR="001E3F53" w:rsidRPr="0039564E" w14:paraId="4F028173" w14:textId="77777777" w:rsidTr="00933F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4" w:type="dxa"/>
          </w:tcPr>
          <w:p w14:paraId="4F02816F" w14:textId="16439810" w:rsidR="006868D3" w:rsidRPr="0039564E" w:rsidRDefault="00BD7AEC">
            <w:pPr>
              <w:rPr>
                <w:rFonts w:ascii="Garamond" w:hAnsi="Garamond"/>
                <w:sz w:val="22"/>
                <w:szCs w:val="22"/>
              </w:rPr>
            </w:pPr>
            <w:r>
              <w:rPr>
                <w:rFonts w:ascii="Garamond" w:hAnsi="Garamond"/>
                <w:sz w:val="22"/>
                <w:szCs w:val="22"/>
              </w:rPr>
              <w:t>1c</w:t>
            </w:r>
          </w:p>
        </w:tc>
        <w:tc>
          <w:tcPr>
            <w:tcW w:w="1790" w:type="dxa"/>
          </w:tcPr>
          <w:p w14:paraId="4F028170" w14:textId="77777777" w:rsidR="006868D3" w:rsidRPr="0039564E"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39564E">
              <w:rPr>
                <w:rFonts w:ascii="Garamond" w:hAnsi="Garamond"/>
                <w:b/>
                <w:bCs/>
                <w:sz w:val="22"/>
                <w:szCs w:val="22"/>
              </w:rPr>
              <w:t>Point-in-polygon</w:t>
            </w:r>
          </w:p>
        </w:tc>
        <w:tc>
          <w:tcPr>
            <w:tcW w:w="3454" w:type="dxa"/>
          </w:tcPr>
          <w:p w14:paraId="26FE9B44" w14:textId="7C536AA4" w:rsidR="007C0469" w:rsidRDefault="007C0469">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Pr>
                <w:rFonts w:ascii="Garamond" w:hAnsi="Garamond"/>
                <w:sz w:val="22"/>
                <w:szCs w:val="22"/>
              </w:rPr>
              <w:t xml:space="preserve">The system identifies </w:t>
            </w:r>
            <w:r w:rsidR="00601EBB">
              <w:rPr>
                <w:rFonts w:ascii="Garamond" w:hAnsi="Garamond"/>
                <w:sz w:val="22"/>
                <w:szCs w:val="22"/>
              </w:rPr>
              <w:t>the block group in which the address point falls.</w:t>
            </w:r>
          </w:p>
          <w:p w14:paraId="4F028171" w14:textId="2EB54CE3" w:rsidR="006868D3" w:rsidRPr="0039564E" w:rsidRDefault="006868D3">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p>
        </w:tc>
        <w:tc>
          <w:tcPr>
            <w:tcW w:w="3452" w:type="dxa"/>
          </w:tcPr>
          <w:p w14:paraId="4F028172" w14:textId="77777777" w:rsidR="006868D3" w:rsidRPr="0039564E"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39564E">
              <w:rPr>
                <w:rFonts w:ascii="Garamond" w:hAnsi="Garamond"/>
                <w:sz w:val="22"/>
                <w:szCs w:val="22"/>
              </w:rPr>
              <w:t>Rural areas where block groups are very large — the centroid and all boundary vertices may be more than 1 mile away even though the address sits within the block group</w:t>
            </w:r>
          </w:p>
        </w:tc>
      </w:tr>
    </w:tbl>
    <w:p w14:paraId="4F028188" w14:textId="5115CA2F" w:rsidR="006868D3" w:rsidRPr="0039564E" w:rsidRDefault="00000000">
      <w:pPr>
        <w:spacing w:before="200" w:after="80"/>
        <w:rPr>
          <w:rFonts w:ascii="Garamond" w:hAnsi="Garamond"/>
          <w:sz w:val="22"/>
          <w:szCs w:val="22"/>
        </w:rPr>
      </w:pPr>
      <w:r w:rsidRPr="0039564E">
        <w:rPr>
          <w:rFonts w:ascii="Garamond" w:hAnsi="Garamond"/>
          <w:b/>
          <w:bCs/>
          <w:sz w:val="22"/>
          <w:szCs w:val="22"/>
        </w:rPr>
        <w:t>Step 5 — Fetch ACS Data for All Block Groups in the County</w:t>
      </w:r>
      <w:r w:rsidR="002A2504">
        <w:rPr>
          <w:rFonts w:ascii="Garamond" w:hAnsi="Garamond"/>
          <w:b/>
          <w:bCs/>
          <w:sz w:val="22"/>
          <w:szCs w:val="22"/>
        </w:rPr>
        <w:t xml:space="preserve"> </w:t>
      </w:r>
    </w:p>
    <w:p w14:paraId="4F028189" w14:textId="0DAFC335" w:rsidR="006868D3" w:rsidRPr="0039564E" w:rsidRDefault="00000000">
      <w:pPr>
        <w:spacing w:before="60" w:after="80"/>
        <w:rPr>
          <w:rFonts w:ascii="Garamond" w:hAnsi="Garamond"/>
          <w:sz w:val="22"/>
          <w:szCs w:val="22"/>
        </w:rPr>
      </w:pPr>
      <w:r w:rsidRPr="0039564E">
        <w:rPr>
          <w:rFonts w:ascii="Garamond" w:hAnsi="Garamond"/>
          <w:sz w:val="22"/>
          <w:szCs w:val="22"/>
        </w:rPr>
        <w:t>The tool retrieves ACS 5-year estimate data for all block groups in the county</w:t>
      </w:r>
      <w:r w:rsidR="00921094">
        <w:rPr>
          <w:rFonts w:ascii="Garamond" w:hAnsi="Garamond"/>
          <w:sz w:val="22"/>
          <w:szCs w:val="22"/>
        </w:rPr>
        <w:t xml:space="preserve">. </w:t>
      </w:r>
      <w:r w:rsidRPr="0039564E">
        <w:rPr>
          <w:rFonts w:ascii="Garamond" w:hAnsi="Garamond"/>
          <w:sz w:val="22"/>
          <w:szCs w:val="22"/>
        </w:rPr>
        <w:t>The following variable groups are fetched:</w:t>
      </w:r>
    </w:p>
    <w:p w14:paraId="4F02818A" w14:textId="77777777" w:rsidR="006868D3" w:rsidRPr="0039564E" w:rsidRDefault="006868D3">
      <w:pPr>
        <w:spacing w:before="40"/>
        <w:rPr>
          <w:rFonts w:ascii="Garamond" w:hAnsi="Garamond"/>
          <w:sz w:val="22"/>
          <w:szCs w:val="22"/>
        </w:rPr>
      </w:pPr>
    </w:p>
    <w:p w14:paraId="4F02818B"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Race and Ethnicity (Table B03002)</w:t>
      </w:r>
    </w:p>
    <w:p w14:paraId="4F02818C"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Age by Sex (Table B01001)</w:t>
      </w:r>
    </w:p>
    <w:p w14:paraId="4F02818D"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Median Household Income (B19013), Per Capita Income (B19301), Households by Income (B19001)</w:t>
      </w:r>
    </w:p>
    <w:p w14:paraId="4F02818E"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Poverty — Population by Poverty Ratio (Table C17002). Note: Table B17001, which is more commonly cited in published reports, is only available at the Census tract level and above, not at the block group level. C17002 is used instead and produces equivalent poverty counts.</w:t>
      </w:r>
    </w:p>
    <w:p w14:paraId="14CC9235" w14:textId="768A9931" w:rsidR="009C65C0" w:rsidRPr="009C65C0" w:rsidRDefault="00000000" w:rsidP="009C65C0">
      <w:pPr>
        <w:pStyle w:val="ListParagraph"/>
        <w:numPr>
          <w:ilvl w:val="0"/>
          <w:numId w:val="2"/>
        </w:numPr>
        <w:spacing w:before="40" w:after="40"/>
        <w:rPr>
          <w:rFonts w:ascii="Garamond" w:hAnsi="Garamond"/>
          <w:sz w:val="22"/>
          <w:szCs w:val="22"/>
        </w:rPr>
      </w:pPr>
      <w:r w:rsidRPr="0039564E">
        <w:rPr>
          <w:rFonts w:ascii="Garamond" w:hAnsi="Garamond"/>
          <w:sz w:val="22"/>
          <w:szCs w:val="22"/>
        </w:rPr>
        <w:t>Educational Attainment (Table B15003)</w:t>
      </w:r>
    </w:p>
    <w:p w14:paraId="4F028191" w14:textId="6122F2E1" w:rsidR="006868D3" w:rsidRPr="0039564E" w:rsidRDefault="00000000">
      <w:pPr>
        <w:spacing w:before="200" w:after="80"/>
        <w:rPr>
          <w:rFonts w:ascii="Garamond" w:hAnsi="Garamond"/>
          <w:sz w:val="22"/>
          <w:szCs w:val="22"/>
        </w:rPr>
      </w:pPr>
      <w:r w:rsidRPr="0039564E">
        <w:rPr>
          <w:rFonts w:ascii="Garamond" w:hAnsi="Garamond"/>
          <w:b/>
          <w:bCs/>
          <w:sz w:val="22"/>
          <w:szCs w:val="22"/>
        </w:rPr>
        <w:t>Step 6 — Aggregate Block Group Data for the Radius</w:t>
      </w:r>
    </w:p>
    <w:p w14:paraId="4F028192" w14:textId="77777777" w:rsidR="006868D3" w:rsidRPr="0039564E" w:rsidRDefault="00000000">
      <w:pPr>
        <w:spacing w:before="60" w:after="80"/>
        <w:rPr>
          <w:rFonts w:ascii="Garamond" w:hAnsi="Garamond"/>
          <w:sz w:val="22"/>
          <w:szCs w:val="22"/>
        </w:rPr>
      </w:pPr>
      <w:r w:rsidRPr="0039564E">
        <w:rPr>
          <w:rFonts w:ascii="Garamond" w:hAnsi="Garamond"/>
          <w:sz w:val="22"/>
          <w:szCs w:val="22"/>
        </w:rPr>
        <w:t>Once the set of block groups within the radius is determined, the tool aggregates their values:</w:t>
      </w:r>
    </w:p>
    <w:p w14:paraId="4F028193" w14:textId="77777777" w:rsidR="006868D3" w:rsidRPr="0039564E" w:rsidRDefault="006868D3">
      <w:pPr>
        <w:spacing w:before="40"/>
        <w:rPr>
          <w:rFonts w:ascii="Garamond" w:hAnsi="Garamond"/>
          <w:sz w:val="22"/>
          <w:szCs w:val="22"/>
        </w:rPr>
      </w:pPr>
    </w:p>
    <w:p w14:paraId="4F028194"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Count variables (population totals, race, age groups, poverty, education): summed directly across all included block groups, excluding any Census “N/A” sentinel values (-666,666,666)</w:t>
      </w:r>
    </w:p>
    <w:p w14:paraId="4F028195"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Median household income: population-weighted average of each block group’s median, weighted by the number of households in that block group (B19001_001E)</w:t>
      </w:r>
    </w:p>
    <w:p w14:paraId="4F028196"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lastRenderedPageBreak/>
        <w:t>Per capita income: population-weighted average, weighted by total population (B01001_001E)</w:t>
      </w:r>
    </w:p>
    <w:p w14:paraId="4F028197" w14:textId="77777777" w:rsidR="006868D3" w:rsidRPr="0039564E" w:rsidRDefault="006868D3">
      <w:pPr>
        <w:spacing w:before="80"/>
        <w:rPr>
          <w:rFonts w:ascii="Garamond" w:hAnsi="Garamond"/>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E3F53" w:rsidRPr="0039564E" w14:paraId="4F02819A" w14:textId="77777777">
        <w:tblPrEx>
          <w:tblCellMar>
            <w:top w:w="0" w:type="dxa"/>
            <w:bottom w:w="0" w:type="dxa"/>
          </w:tblCellMar>
        </w:tblPrEx>
        <w:tc>
          <w:tcPr>
            <w:tcW w:w="9360" w:type="dxa"/>
            <w:tcBorders>
              <w:top w:val="single" w:sz="4" w:space="0" w:color="16A34A"/>
              <w:left w:val="thick" w:sz="12" w:space="0" w:color="16A34A"/>
              <w:bottom w:val="single" w:sz="4" w:space="0" w:color="16A34A"/>
              <w:right w:val="single" w:sz="4" w:space="0" w:color="16A34A"/>
            </w:tcBorders>
            <w:shd w:val="clear" w:color="auto" w:fill="F0FDF4"/>
            <w:tcMar>
              <w:top w:w="120" w:type="dxa"/>
              <w:left w:w="200" w:type="dxa"/>
              <w:bottom w:w="120" w:type="dxa"/>
              <w:right w:w="200" w:type="dxa"/>
            </w:tcMar>
          </w:tcPr>
          <w:p w14:paraId="4F028198" w14:textId="77777777" w:rsidR="006868D3" w:rsidRPr="0039564E" w:rsidRDefault="00000000">
            <w:pPr>
              <w:spacing w:after="60"/>
              <w:rPr>
                <w:rFonts w:ascii="Garamond" w:hAnsi="Garamond"/>
                <w:sz w:val="22"/>
                <w:szCs w:val="22"/>
              </w:rPr>
            </w:pPr>
            <w:r w:rsidRPr="0039564E">
              <w:rPr>
                <w:rFonts w:ascii="Garamond" w:hAnsi="Garamond"/>
                <w:b/>
                <w:bCs/>
                <w:sz w:val="22"/>
                <w:szCs w:val="22"/>
              </w:rPr>
              <w:t>Note on Weighted Medians</w:t>
            </w:r>
          </w:p>
          <w:p w14:paraId="4F028199" w14:textId="618252BB" w:rsidR="006868D3" w:rsidRPr="0039564E" w:rsidRDefault="00000000">
            <w:pPr>
              <w:rPr>
                <w:rFonts w:ascii="Garamond" w:hAnsi="Garamond"/>
                <w:sz w:val="22"/>
                <w:szCs w:val="22"/>
              </w:rPr>
            </w:pPr>
            <w:r w:rsidRPr="0039564E">
              <w:rPr>
                <w:rFonts w:ascii="Garamond" w:hAnsi="Garamond"/>
                <w:sz w:val="22"/>
                <w:szCs w:val="22"/>
              </w:rPr>
              <w:t xml:space="preserve">A true median income for a custom geographic area cannot be computed from published block group medians alone — that would require access to the underlying microdata. The household-weighted average of block group medians is a standard and widely accepted approximation for custom geographies. </w:t>
            </w:r>
          </w:p>
        </w:tc>
      </w:tr>
    </w:tbl>
    <w:p w14:paraId="4F02819C" w14:textId="76D4794D" w:rsidR="006868D3" w:rsidRPr="0039564E" w:rsidRDefault="00000000">
      <w:pPr>
        <w:spacing w:before="200" w:after="80"/>
        <w:rPr>
          <w:rFonts w:ascii="Garamond" w:hAnsi="Garamond"/>
          <w:sz w:val="22"/>
          <w:szCs w:val="22"/>
        </w:rPr>
      </w:pPr>
      <w:r w:rsidRPr="0039564E">
        <w:rPr>
          <w:rFonts w:ascii="Garamond" w:hAnsi="Garamond"/>
          <w:b/>
          <w:bCs/>
          <w:sz w:val="22"/>
          <w:szCs w:val="22"/>
        </w:rPr>
        <w:t>Step 7 — Fetch Comparison Geographies</w:t>
      </w:r>
    </w:p>
    <w:p w14:paraId="4F02819E" w14:textId="433B4FC3" w:rsidR="006868D3" w:rsidRPr="0039564E" w:rsidRDefault="00000000" w:rsidP="00933F84">
      <w:pPr>
        <w:spacing w:before="60" w:after="80"/>
        <w:rPr>
          <w:rFonts w:ascii="Garamond" w:hAnsi="Garamond"/>
          <w:sz w:val="22"/>
          <w:szCs w:val="22"/>
        </w:rPr>
      </w:pPr>
      <w:r w:rsidRPr="0039564E">
        <w:rPr>
          <w:rFonts w:ascii="Garamond" w:hAnsi="Garamond"/>
          <w:sz w:val="22"/>
          <w:szCs w:val="22"/>
        </w:rPr>
        <w:t>In parallel with Step 5, the tool fetches the same ACS variables at three additional geographic levels for the comparison columns in the results table:</w:t>
      </w:r>
    </w:p>
    <w:p w14:paraId="4F02819F"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City / Place: the incorporated place or Census-designated place containing the address (omitted if none exists, e.g. unincorporated rural areas)</w:t>
      </w:r>
    </w:p>
    <w:p w14:paraId="4F0281A0"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County: the full county containing the address</w:t>
      </w:r>
    </w:p>
    <w:p w14:paraId="4F0281A1" w14:textId="77777777" w:rsidR="006868D3" w:rsidRPr="0039564E" w:rsidRDefault="00000000">
      <w:pPr>
        <w:pStyle w:val="ListParagraph"/>
        <w:numPr>
          <w:ilvl w:val="0"/>
          <w:numId w:val="2"/>
        </w:numPr>
        <w:spacing w:before="40" w:after="40"/>
        <w:rPr>
          <w:rFonts w:ascii="Garamond" w:hAnsi="Garamond"/>
          <w:sz w:val="22"/>
          <w:szCs w:val="22"/>
        </w:rPr>
      </w:pPr>
      <w:r w:rsidRPr="0039564E">
        <w:rPr>
          <w:rFonts w:ascii="Garamond" w:hAnsi="Garamond"/>
          <w:sz w:val="22"/>
          <w:szCs w:val="22"/>
        </w:rPr>
        <w:t>State: the full state containing the address</w:t>
      </w:r>
    </w:p>
    <w:p w14:paraId="4F0281C5" w14:textId="7DC9AFC1" w:rsidR="006868D3" w:rsidRPr="001E3F53" w:rsidRDefault="00090955" w:rsidP="00090955">
      <w:pPr>
        <w:pStyle w:val="Heading2"/>
      </w:pPr>
      <w:r>
        <w:t>4</w:t>
      </w:r>
      <w:r w:rsidR="00000000" w:rsidRPr="001E3F53">
        <w:t>. Known Limitations</w:t>
      </w:r>
    </w:p>
    <w:p w14:paraId="4F0281C8" w14:textId="2F568E44" w:rsidR="006868D3" w:rsidRPr="00452F01" w:rsidRDefault="00000000" w:rsidP="00452F01">
      <w:pPr>
        <w:spacing w:before="200" w:after="80"/>
        <w:rPr>
          <w:rFonts w:ascii="Garamond" w:hAnsi="Garamond"/>
          <w:sz w:val="22"/>
          <w:szCs w:val="22"/>
        </w:rPr>
      </w:pPr>
      <w:r w:rsidRPr="00452F01">
        <w:rPr>
          <w:rFonts w:ascii="Garamond" w:hAnsi="Garamond"/>
          <w:b/>
          <w:bCs/>
          <w:sz w:val="22"/>
          <w:szCs w:val="22"/>
        </w:rPr>
        <w:t>Block Groups Are Included as Whole Units</w:t>
      </w:r>
      <w:r w:rsidR="00452F01">
        <w:rPr>
          <w:rFonts w:ascii="Garamond" w:hAnsi="Garamond"/>
          <w:sz w:val="22"/>
          <w:szCs w:val="22"/>
        </w:rPr>
        <w:t xml:space="preserve">. </w:t>
      </w:r>
      <w:r w:rsidRPr="00452F01">
        <w:rPr>
          <w:rFonts w:ascii="Garamond" w:hAnsi="Garamond"/>
          <w:sz w:val="22"/>
          <w:szCs w:val="22"/>
        </w:rPr>
        <w:t>Block groups are included or excluded as complete units</w:t>
      </w:r>
      <w:r w:rsidR="00452F01">
        <w:rPr>
          <w:rFonts w:ascii="Garamond" w:hAnsi="Garamond"/>
          <w:sz w:val="22"/>
          <w:szCs w:val="22"/>
        </w:rPr>
        <w:t>. T</w:t>
      </w:r>
      <w:r w:rsidRPr="00452F01">
        <w:rPr>
          <w:rFonts w:ascii="Garamond" w:hAnsi="Garamond"/>
          <w:sz w:val="22"/>
          <w:szCs w:val="22"/>
        </w:rPr>
        <w:t xml:space="preserve">he tool does not calculate what fraction of a block group’s area overlaps the radius circle. This means a block group near the radius boundary may have only 10% of its area inside the circle, but 100% of its population is counted. This effect is most pronounced at the 1-mile radius and diminishes at larger radii. </w:t>
      </w:r>
    </w:p>
    <w:p w14:paraId="4F0281CB" w14:textId="4F4718E3" w:rsidR="006868D3" w:rsidRPr="00452F01" w:rsidRDefault="00000000" w:rsidP="00B77B9B">
      <w:pPr>
        <w:spacing w:before="200" w:after="80"/>
        <w:rPr>
          <w:rFonts w:ascii="Garamond" w:hAnsi="Garamond"/>
          <w:sz w:val="22"/>
          <w:szCs w:val="22"/>
        </w:rPr>
      </w:pPr>
      <w:r w:rsidRPr="00452F01">
        <w:rPr>
          <w:rFonts w:ascii="Garamond" w:hAnsi="Garamond"/>
          <w:b/>
          <w:bCs/>
          <w:sz w:val="22"/>
          <w:szCs w:val="22"/>
        </w:rPr>
        <w:t>Rural 1-Mile Radius May Return a Single Large Block Group</w:t>
      </w:r>
      <w:r w:rsidR="00B77B9B">
        <w:rPr>
          <w:rFonts w:ascii="Garamond" w:hAnsi="Garamond"/>
          <w:b/>
          <w:bCs/>
          <w:sz w:val="22"/>
          <w:szCs w:val="22"/>
        </w:rPr>
        <w:t xml:space="preserve">. </w:t>
      </w:r>
      <w:r w:rsidRPr="00452F01">
        <w:rPr>
          <w:rFonts w:ascii="Garamond" w:hAnsi="Garamond"/>
          <w:sz w:val="22"/>
          <w:szCs w:val="22"/>
        </w:rPr>
        <w:t>In rural areas, Census block groups can cover many square miles. When searching a rural address at 1 mile, it is expected and correct to return only 1 block group</w:t>
      </w:r>
      <w:r w:rsidR="00B77B9B">
        <w:rPr>
          <w:rFonts w:ascii="Garamond" w:hAnsi="Garamond"/>
          <w:sz w:val="22"/>
          <w:szCs w:val="22"/>
        </w:rPr>
        <w:t>,</w:t>
      </w:r>
      <w:r w:rsidRPr="00452F01">
        <w:rPr>
          <w:rFonts w:ascii="Garamond" w:hAnsi="Garamond"/>
          <w:sz w:val="22"/>
          <w:szCs w:val="22"/>
        </w:rPr>
        <w:t xml:space="preserve"> the one containing the address. That block group’s population may represent a much larger geographic area than 1 mile. This is an inherent limitation of Census geography in rural areas</w:t>
      </w:r>
      <w:r w:rsidR="0052561E">
        <w:rPr>
          <w:rFonts w:ascii="Garamond" w:hAnsi="Garamond"/>
          <w:sz w:val="22"/>
          <w:szCs w:val="22"/>
        </w:rPr>
        <w:t>.</w:t>
      </w:r>
    </w:p>
    <w:p w14:paraId="4F0281CE" w14:textId="2DECD1A0" w:rsidR="006868D3" w:rsidRPr="00452F01" w:rsidRDefault="00000000" w:rsidP="0052561E">
      <w:pPr>
        <w:spacing w:before="200" w:after="80"/>
        <w:rPr>
          <w:rFonts w:ascii="Garamond" w:hAnsi="Garamond"/>
          <w:sz w:val="22"/>
          <w:szCs w:val="22"/>
        </w:rPr>
      </w:pPr>
      <w:r w:rsidRPr="00452F01">
        <w:rPr>
          <w:rFonts w:ascii="Garamond" w:hAnsi="Garamond"/>
          <w:b/>
          <w:bCs/>
          <w:sz w:val="22"/>
          <w:szCs w:val="22"/>
        </w:rPr>
        <w:t>Single-County Limitation</w:t>
      </w:r>
      <w:r w:rsidR="0052561E">
        <w:rPr>
          <w:rFonts w:ascii="Garamond" w:hAnsi="Garamond"/>
          <w:sz w:val="22"/>
          <w:szCs w:val="22"/>
        </w:rPr>
        <w:t xml:space="preserve">. </w:t>
      </w:r>
      <w:r w:rsidRPr="00452F01">
        <w:rPr>
          <w:rFonts w:ascii="Garamond" w:hAnsi="Garamond"/>
          <w:sz w:val="22"/>
          <w:szCs w:val="22"/>
        </w:rPr>
        <w:t xml:space="preserve">The current version only fetches block group data for the county in which the address is located. For addresses near a county boundary, block groups in adjacent counties are not included even if they fall within the selected radius. This most commonly affects </w:t>
      </w:r>
      <w:r w:rsidR="0052561E">
        <w:rPr>
          <w:rFonts w:ascii="Garamond" w:hAnsi="Garamond"/>
          <w:sz w:val="22"/>
          <w:szCs w:val="22"/>
        </w:rPr>
        <w:t>addresses</w:t>
      </w:r>
      <w:r w:rsidRPr="00452F01">
        <w:rPr>
          <w:rFonts w:ascii="Garamond" w:hAnsi="Garamond"/>
          <w:sz w:val="22"/>
          <w:szCs w:val="22"/>
        </w:rPr>
        <w:t xml:space="preserve"> near county lines.</w:t>
      </w:r>
    </w:p>
    <w:p w14:paraId="4F0281D1" w14:textId="70912FC6" w:rsidR="006868D3" w:rsidRPr="00452F01" w:rsidRDefault="00000000" w:rsidP="0052561E">
      <w:pPr>
        <w:spacing w:before="200" w:after="80"/>
        <w:rPr>
          <w:rFonts w:ascii="Garamond" w:hAnsi="Garamond"/>
          <w:sz w:val="22"/>
          <w:szCs w:val="22"/>
        </w:rPr>
      </w:pPr>
      <w:r w:rsidRPr="00452F01">
        <w:rPr>
          <w:rFonts w:ascii="Garamond" w:hAnsi="Garamond"/>
          <w:b/>
          <w:bCs/>
          <w:sz w:val="22"/>
          <w:szCs w:val="22"/>
        </w:rPr>
        <w:t>ACS Estimates vs. True Counts</w:t>
      </w:r>
      <w:r w:rsidR="0052561E">
        <w:rPr>
          <w:rFonts w:ascii="Garamond" w:hAnsi="Garamond"/>
          <w:sz w:val="22"/>
          <w:szCs w:val="22"/>
        </w:rPr>
        <w:t xml:space="preserve">. </w:t>
      </w:r>
      <w:r w:rsidRPr="00452F01">
        <w:rPr>
          <w:rFonts w:ascii="Garamond" w:hAnsi="Garamond"/>
          <w:sz w:val="22"/>
          <w:szCs w:val="22"/>
        </w:rPr>
        <w:t>All data comes from the American Community Survey 5-Year Estimates, which are statistical estimates based on survey samples</w:t>
      </w:r>
      <w:r w:rsidR="00A1467A">
        <w:rPr>
          <w:rFonts w:ascii="Garamond" w:hAnsi="Garamond"/>
          <w:sz w:val="22"/>
          <w:szCs w:val="22"/>
        </w:rPr>
        <w:t>,</w:t>
      </w:r>
      <w:r w:rsidRPr="00452F01">
        <w:rPr>
          <w:rFonts w:ascii="Garamond" w:hAnsi="Garamond"/>
          <w:sz w:val="22"/>
          <w:szCs w:val="22"/>
        </w:rPr>
        <w:t xml:space="preserve"> not a complete count like the Decennial Census. Each estimate carries an associated margin of error. For small block groups with low populations, these margins can be significant. Selecting “2024” returns estimates representing the 2020–2024 5-year average period.</w:t>
      </w:r>
    </w:p>
    <w:p w14:paraId="4F0281D4" w14:textId="5A7B6876" w:rsidR="006868D3" w:rsidRPr="00452F01" w:rsidRDefault="00000000" w:rsidP="00A1467A">
      <w:pPr>
        <w:spacing w:before="200" w:after="80"/>
        <w:rPr>
          <w:rFonts w:ascii="Garamond" w:hAnsi="Garamond"/>
          <w:sz w:val="22"/>
          <w:szCs w:val="22"/>
        </w:rPr>
      </w:pPr>
      <w:r w:rsidRPr="00452F01">
        <w:rPr>
          <w:rFonts w:ascii="Garamond" w:hAnsi="Garamond"/>
          <w:b/>
          <w:bCs/>
          <w:sz w:val="22"/>
          <w:szCs w:val="22"/>
        </w:rPr>
        <w:t>Poverty Table Difference from Published Reports</w:t>
      </w:r>
      <w:r w:rsidR="00A1467A">
        <w:rPr>
          <w:rFonts w:ascii="Garamond" w:hAnsi="Garamond"/>
          <w:sz w:val="22"/>
          <w:szCs w:val="22"/>
        </w:rPr>
        <w:t xml:space="preserve">. </w:t>
      </w:r>
      <w:r w:rsidRPr="00452F01">
        <w:rPr>
          <w:rFonts w:ascii="Garamond" w:hAnsi="Garamond"/>
          <w:sz w:val="22"/>
          <w:szCs w:val="22"/>
        </w:rPr>
        <w:t>Standard poverty tables (B17001) cited in most published reports are not available at the block group level. The tool uses Table C17002 (Ratio of Income to Poverty Level), summing categories below 1.0 (i.e., below 100% of the poverty line) to derive the population below poverty. The same table is used consistently across the radius, city, county, and state columns. Figures may differ slightly from county or state reports that use B17001.</w:t>
      </w:r>
    </w:p>
    <w:p w14:paraId="4F0281DA" w14:textId="3ABD2946" w:rsidR="006868D3" w:rsidRDefault="00000000" w:rsidP="00FB4F01">
      <w:pPr>
        <w:pStyle w:val="Heading2"/>
      </w:pPr>
      <w:r w:rsidRPr="001E3F53">
        <w:t>6. Glossary</w:t>
      </w:r>
    </w:p>
    <w:tbl>
      <w:tblPr>
        <w:tblStyle w:val="GridTable4-Accent1"/>
        <w:tblW w:w="9360" w:type="dxa"/>
        <w:tblLook w:val="04A0" w:firstRow="1" w:lastRow="0" w:firstColumn="1" w:lastColumn="0" w:noHBand="0" w:noVBand="1"/>
      </w:tblPr>
      <w:tblGrid>
        <w:gridCol w:w="2400"/>
        <w:gridCol w:w="6960"/>
      </w:tblGrid>
      <w:tr w:rsidR="001E3F53" w:rsidRPr="00FB4F01" w14:paraId="4F0281DD" w14:textId="77777777" w:rsidTr="00FB4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F0281DB" w14:textId="77777777" w:rsidR="006868D3" w:rsidRPr="00656FDD" w:rsidRDefault="00000000">
            <w:pPr>
              <w:rPr>
                <w:rFonts w:ascii="Garamond" w:hAnsi="Garamond"/>
                <w:sz w:val="22"/>
                <w:szCs w:val="22"/>
              </w:rPr>
            </w:pPr>
            <w:r w:rsidRPr="00656FDD">
              <w:rPr>
                <w:rFonts w:ascii="Garamond" w:hAnsi="Garamond"/>
                <w:sz w:val="22"/>
                <w:szCs w:val="22"/>
              </w:rPr>
              <w:t>Term</w:t>
            </w:r>
          </w:p>
        </w:tc>
        <w:tc>
          <w:tcPr>
            <w:tcW w:w="6960" w:type="dxa"/>
          </w:tcPr>
          <w:p w14:paraId="4F0281DC" w14:textId="77777777" w:rsidR="006868D3" w:rsidRPr="00656FDD" w:rsidRDefault="00000000">
            <w:pPr>
              <w:cnfStyle w:val="100000000000" w:firstRow="1" w:lastRow="0" w:firstColumn="0" w:lastColumn="0" w:oddVBand="0" w:evenVBand="0" w:oddHBand="0" w:evenHBand="0" w:firstRowFirstColumn="0" w:firstRowLastColumn="0" w:lastRowFirstColumn="0" w:lastRowLastColumn="0"/>
              <w:rPr>
                <w:rFonts w:ascii="Garamond" w:hAnsi="Garamond"/>
                <w:sz w:val="22"/>
                <w:szCs w:val="22"/>
              </w:rPr>
            </w:pPr>
            <w:r w:rsidRPr="00656FDD">
              <w:rPr>
                <w:rFonts w:ascii="Garamond" w:hAnsi="Garamond"/>
                <w:sz w:val="22"/>
                <w:szCs w:val="22"/>
              </w:rPr>
              <w:t>Definition</w:t>
            </w:r>
          </w:p>
        </w:tc>
      </w:tr>
      <w:tr w:rsidR="001E3F53" w:rsidRPr="00FB4F01" w14:paraId="4F0281E0" w14:textId="77777777" w:rsidTr="00FB4F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F0281DE" w14:textId="77777777" w:rsidR="006868D3" w:rsidRPr="00FB4F01" w:rsidRDefault="00000000">
            <w:pPr>
              <w:rPr>
                <w:rFonts w:ascii="Garamond" w:hAnsi="Garamond"/>
                <w:sz w:val="22"/>
                <w:szCs w:val="22"/>
              </w:rPr>
            </w:pPr>
            <w:r w:rsidRPr="00FB4F01">
              <w:rPr>
                <w:rFonts w:ascii="Garamond" w:hAnsi="Garamond"/>
                <w:sz w:val="22"/>
                <w:szCs w:val="22"/>
              </w:rPr>
              <w:t>ACS 5-Year Estimates</w:t>
            </w:r>
          </w:p>
        </w:tc>
        <w:tc>
          <w:tcPr>
            <w:tcW w:w="6960" w:type="dxa"/>
          </w:tcPr>
          <w:p w14:paraId="4F0281DF" w14:textId="77777777" w:rsidR="006868D3" w:rsidRPr="00FB4F01"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FB4F01">
              <w:rPr>
                <w:rFonts w:ascii="Garamond" w:hAnsi="Garamond"/>
                <w:sz w:val="22"/>
                <w:szCs w:val="22"/>
              </w:rPr>
              <w:t>Survey-based demographic estimates averaged over a 5-year period published by the U.S. Census Bureau. Selecting “2024” returns estimates representing the 2020–2024 average.</w:t>
            </w:r>
          </w:p>
        </w:tc>
      </w:tr>
      <w:tr w:rsidR="001E3F53" w:rsidRPr="00FB4F01" w14:paraId="4F0281E3" w14:textId="77777777" w:rsidTr="00FB4F01">
        <w:tc>
          <w:tcPr>
            <w:cnfStyle w:val="001000000000" w:firstRow="0" w:lastRow="0" w:firstColumn="1" w:lastColumn="0" w:oddVBand="0" w:evenVBand="0" w:oddHBand="0" w:evenHBand="0" w:firstRowFirstColumn="0" w:firstRowLastColumn="0" w:lastRowFirstColumn="0" w:lastRowLastColumn="0"/>
            <w:tcW w:w="2400" w:type="dxa"/>
          </w:tcPr>
          <w:p w14:paraId="4F0281E1" w14:textId="77777777" w:rsidR="006868D3" w:rsidRPr="00FB4F01" w:rsidRDefault="00000000">
            <w:pPr>
              <w:rPr>
                <w:rFonts w:ascii="Garamond" w:hAnsi="Garamond"/>
                <w:sz w:val="22"/>
                <w:szCs w:val="22"/>
              </w:rPr>
            </w:pPr>
            <w:r w:rsidRPr="00FB4F01">
              <w:rPr>
                <w:rFonts w:ascii="Garamond" w:hAnsi="Garamond"/>
                <w:sz w:val="22"/>
                <w:szCs w:val="22"/>
              </w:rPr>
              <w:lastRenderedPageBreak/>
              <w:t>Block Group</w:t>
            </w:r>
          </w:p>
        </w:tc>
        <w:tc>
          <w:tcPr>
            <w:tcW w:w="6960" w:type="dxa"/>
          </w:tcPr>
          <w:p w14:paraId="4F0281E2" w14:textId="77777777" w:rsidR="006868D3" w:rsidRPr="00FB4F01" w:rsidRDefault="00000000">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FB4F01">
              <w:rPr>
                <w:rFonts w:ascii="Garamond" w:hAnsi="Garamond"/>
                <w:sz w:val="22"/>
                <w:szCs w:val="22"/>
              </w:rPr>
              <w:t>The smallest geographic unit for which the Census Bureau publishes ACS data. A block group typically contains 600–3,000 people and can range from a few city blocks in urban areas to many square miles in rural areas.</w:t>
            </w:r>
          </w:p>
        </w:tc>
      </w:tr>
      <w:tr w:rsidR="001E3F53" w:rsidRPr="00FB4F01" w14:paraId="4F0281E9" w14:textId="77777777" w:rsidTr="00FB4F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F0281E7" w14:textId="77777777" w:rsidR="006868D3" w:rsidRPr="00FB4F01" w:rsidRDefault="00000000">
            <w:pPr>
              <w:rPr>
                <w:rFonts w:ascii="Garamond" w:hAnsi="Garamond"/>
                <w:sz w:val="22"/>
                <w:szCs w:val="22"/>
              </w:rPr>
            </w:pPr>
            <w:r w:rsidRPr="00FB4F01">
              <w:rPr>
                <w:rFonts w:ascii="Garamond" w:hAnsi="Garamond"/>
                <w:sz w:val="22"/>
                <w:szCs w:val="22"/>
              </w:rPr>
              <w:t>FIPS Code</w:t>
            </w:r>
          </w:p>
        </w:tc>
        <w:tc>
          <w:tcPr>
            <w:tcW w:w="6960" w:type="dxa"/>
          </w:tcPr>
          <w:p w14:paraId="4F0281E8" w14:textId="77777777" w:rsidR="006868D3" w:rsidRPr="00FB4F01" w:rsidRDefault="00000000">
            <w:pPr>
              <w:cnfStyle w:val="000000100000" w:firstRow="0" w:lastRow="0" w:firstColumn="0" w:lastColumn="0" w:oddVBand="0" w:evenVBand="0" w:oddHBand="1" w:evenHBand="0" w:firstRowFirstColumn="0" w:firstRowLastColumn="0" w:lastRowFirstColumn="0" w:lastRowLastColumn="0"/>
              <w:rPr>
                <w:rFonts w:ascii="Garamond" w:hAnsi="Garamond"/>
                <w:sz w:val="22"/>
                <w:szCs w:val="22"/>
              </w:rPr>
            </w:pPr>
            <w:r w:rsidRPr="00FB4F01">
              <w:rPr>
                <w:rFonts w:ascii="Garamond" w:hAnsi="Garamond"/>
                <w:sz w:val="22"/>
                <w:szCs w:val="22"/>
              </w:rPr>
              <w:t>Federal Information Processing Standards code — a numeric identifier for states (2 digits), counties (3 digits), tracts (6 digits), and block groups (1 digit) used by the Census Bureau.</w:t>
            </w:r>
          </w:p>
        </w:tc>
      </w:tr>
      <w:tr w:rsidR="001E3F53" w:rsidRPr="00FB4F01" w14:paraId="4F0281EC" w14:textId="77777777" w:rsidTr="00FB4F01">
        <w:tc>
          <w:tcPr>
            <w:cnfStyle w:val="001000000000" w:firstRow="0" w:lastRow="0" w:firstColumn="1" w:lastColumn="0" w:oddVBand="0" w:evenVBand="0" w:oddHBand="0" w:evenHBand="0" w:firstRowFirstColumn="0" w:firstRowLastColumn="0" w:lastRowFirstColumn="0" w:lastRowLastColumn="0"/>
            <w:tcW w:w="2400" w:type="dxa"/>
          </w:tcPr>
          <w:p w14:paraId="4F0281EA" w14:textId="77777777" w:rsidR="006868D3" w:rsidRPr="00FB4F01" w:rsidRDefault="00000000">
            <w:pPr>
              <w:rPr>
                <w:rFonts w:ascii="Garamond" w:hAnsi="Garamond"/>
                <w:sz w:val="22"/>
                <w:szCs w:val="22"/>
              </w:rPr>
            </w:pPr>
            <w:r w:rsidRPr="00FB4F01">
              <w:rPr>
                <w:rFonts w:ascii="Garamond" w:hAnsi="Garamond"/>
                <w:sz w:val="22"/>
                <w:szCs w:val="22"/>
              </w:rPr>
              <w:t>Geocoding</w:t>
            </w:r>
          </w:p>
        </w:tc>
        <w:tc>
          <w:tcPr>
            <w:tcW w:w="6960" w:type="dxa"/>
          </w:tcPr>
          <w:p w14:paraId="4F0281EB" w14:textId="77777777" w:rsidR="006868D3" w:rsidRPr="00FB4F01" w:rsidRDefault="00000000">
            <w:pPr>
              <w:cnfStyle w:val="000000000000" w:firstRow="0" w:lastRow="0" w:firstColumn="0" w:lastColumn="0" w:oddVBand="0" w:evenVBand="0" w:oddHBand="0" w:evenHBand="0" w:firstRowFirstColumn="0" w:firstRowLastColumn="0" w:lastRowFirstColumn="0" w:lastRowLastColumn="0"/>
              <w:rPr>
                <w:rFonts w:ascii="Garamond" w:hAnsi="Garamond"/>
                <w:sz w:val="22"/>
                <w:szCs w:val="22"/>
              </w:rPr>
            </w:pPr>
            <w:r w:rsidRPr="00FB4F01">
              <w:rPr>
                <w:rFonts w:ascii="Garamond" w:hAnsi="Garamond"/>
                <w:sz w:val="22"/>
                <w:szCs w:val="22"/>
              </w:rPr>
              <w:t>The process of converting a street address into geographic coordinates (latitude and longitude).</w:t>
            </w:r>
          </w:p>
        </w:tc>
      </w:tr>
    </w:tbl>
    <w:p w14:paraId="4F0281FC" w14:textId="77777777" w:rsidR="006868D3" w:rsidRPr="00FB4F01" w:rsidRDefault="006868D3">
      <w:pPr>
        <w:spacing w:before="160"/>
        <w:rPr>
          <w:rFonts w:ascii="Garamond" w:hAnsi="Garamond"/>
          <w:sz w:val="22"/>
          <w:szCs w:val="22"/>
        </w:rPr>
      </w:pPr>
    </w:p>
    <w:p w14:paraId="4F0281FD" w14:textId="29109CD0" w:rsidR="006868D3" w:rsidRPr="00273698" w:rsidRDefault="00000000">
      <w:pPr>
        <w:pBdr>
          <w:top w:val="single" w:sz="4" w:space="4" w:color="CCCCCC"/>
        </w:pBdr>
        <w:spacing w:before="120"/>
        <w:rPr>
          <w:rFonts w:ascii="Garamond" w:hAnsi="Garamond"/>
          <w:sz w:val="22"/>
          <w:szCs w:val="22"/>
        </w:rPr>
      </w:pPr>
      <w:r w:rsidRPr="00273698">
        <w:rPr>
          <w:rFonts w:ascii="Garamond" w:hAnsi="Garamond"/>
          <w:i/>
          <w:iCs/>
          <w:sz w:val="22"/>
          <w:szCs w:val="22"/>
        </w:rPr>
        <w:t xml:space="preserve">For questions about this methodology, contact the </w:t>
      </w:r>
      <w:r w:rsidR="00273698">
        <w:rPr>
          <w:rFonts w:ascii="Garamond" w:hAnsi="Garamond"/>
          <w:i/>
          <w:iCs/>
          <w:sz w:val="22"/>
          <w:szCs w:val="22"/>
        </w:rPr>
        <w:t>Shelby Shumard at shumards@cofc.edu</w:t>
      </w:r>
      <w:r w:rsidRPr="00273698">
        <w:rPr>
          <w:rFonts w:ascii="Garamond" w:hAnsi="Garamond"/>
          <w:i/>
          <w:iCs/>
          <w:sz w:val="22"/>
          <w:szCs w:val="22"/>
        </w:rPr>
        <w:t>. Data sourced from U.S. Census Bureau American Community Survey 5-Year Estimates and TIGER/Line geographic boundary files. This document reflects tool version 2.0 (March 2026).</w:t>
      </w:r>
    </w:p>
    <w:p w14:paraId="5B92478A" w14:textId="77777777" w:rsidR="001E3F53" w:rsidRPr="001E3F53" w:rsidRDefault="001E3F53">
      <w:pPr>
        <w:pBdr>
          <w:top w:val="single" w:sz="4" w:space="4" w:color="CCCCCC"/>
        </w:pBdr>
        <w:spacing w:before="120"/>
        <w:rPr>
          <w:rFonts w:ascii="Garamond" w:hAnsi="Garamond"/>
        </w:rPr>
      </w:pPr>
    </w:p>
    <w:sectPr w:rsidR="001E3F53" w:rsidRPr="001E3F53">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CBA61" w14:textId="77777777" w:rsidR="0025459B" w:rsidRDefault="0025459B">
      <w:r>
        <w:separator/>
      </w:r>
    </w:p>
  </w:endnote>
  <w:endnote w:type="continuationSeparator" w:id="0">
    <w:p w14:paraId="4C2BF203" w14:textId="77777777" w:rsidR="0025459B" w:rsidRDefault="00254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281FF" w14:textId="42B097F2" w:rsidR="006868D3" w:rsidRDefault="00000000">
    <w:pPr>
      <w:pBdr>
        <w:top w:val="single" w:sz="4" w:space="1" w:color="CCCCCC"/>
      </w:pBd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27E5E">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827E5E">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8C1D1" w14:textId="77777777" w:rsidR="0025459B" w:rsidRDefault="0025459B">
      <w:r>
        <w:separator/>
      </w:r>
    </w:p>
  </w:footnote>
  <w:footnote w:type="continuationSeparator" w:id="0">
    <w:p w14:paraId="3A600A05" w14:textId="77777777" w:rsidR="0025459B" w:rsidRDefault="002545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281FE" w14:textId="77777777" w:rsidR="006868D3" w:rsidRDefault="00000000">
    <w:pPr>
      <w:pBdr>
        <w:bottom w:val="single" w:sz="4" w:space="1" w:color="CCCCCC"/>
      </w:pBdr>
      <w:tabs>
        <w:tab w:val="right" w:pos="9026"/>
      </w:tabs>
    </w:pPr>
    <w:r>
      <w:rPr>
        <w:color w:val="888888"/>
        <w:sz w:val="16"/>
        <w:szCs w:val="16"/>
      </w:rPr>
      <w:t>Demographics Radius Tool  |  Methodology Documentation  |  v2.0</w:t>
    </w:r>
    <w:r>
      <w:rPr>
        <w:sz w:val="16"/>
        <w:szCs w:val="16"/>
      </w:rPr>
      <w:tab/>
    </w:r>
    <w:r>
      <w:rPr>
        <w:i/>
        <w:iCs/>
        <w:color w:val="888888"/>
        <w:sz w:val="16"/>
        <w:szCs w:val="16"/>
      </w:rPr>
      <w:t>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1CF"/>
    <w:multiLevelType w:val="hybridMultilevel"/>
    <w:tmpl w:val="CB180E76"/>
    <w:lvl w:ilvl="0" w:tplc="1F8231DA">
      <w:start w:val="1"/>
      <w:numFmt w:val="decimal"/>
      <w:lvlText w:val="%1."/>
      <w:lvlJc w:val="left"/>
      <w:pPr>
        <w:ind w:left="720" w:hanging="360"/>
      </w:pPr>
    </w:lvl>
    <w:lvl w:ilvl="1" w:tplc="DE24A6B4">
      <w:numFmt w:val="decimal"/>
      <w:lvlText w:val=""/>
      <w:lvlJc w:val="left"/>
    </w:lvl>
    <w:lvl w:ilvl="2" w:tplc="C7081F62">
      <w:numFmt w:val="decimal"/>
      <w:lvlText w:val=""/>
      <w:lvlJc w:val="left"/>
    </w:lvl>
    <w:lvl w:ilvl="3" w:tplc="5AD40F5C">
      <w:numFmt w:val="decimal"/>
      <w:lvlText w:val=""/>
      <w:lvlJc w:val="left"/>
    </w:lvl>
    <w:lvl w:ilvl="4" w:tplc="9280C516">
      <w:numFmt w:val="decimal"/>
      <w:lvlText w:val=""/>
      <w:lvlJc w:val="left"/>
    </w:lvl>
    <w:lvl w:ilvl="5" w:tplc="598E0360">
      <w:numFmt w:val="decimal"/>
      <w:lvlText w:val=""/>
      <w:lvlJc w:val="left"/>
    </w:lvl>
    <w:lvl w:ilvl="6" w:tplc="C45EC378">
      <w:numFmt w:val="decimal"/>
      <w:lvlText w:val=""/>
      <w:lvlJc w:val="left"/>
    </w:lvl>
    <w:lvl w:ilvl="7" w:tplc="7BFE1D4A">
      <w:numFmt w:val="decimal"/>
      <w:lvlText w:val=""/>
      <w:lvlJc w:val="left"/>
    </w:lvl>
    <w:lvl w:ilvl="8" w:tplc="2A74F548">
      <w:numFmt w:val="decimal"/>
      <w:lvlText w:val=""/>
      <w:lvlJc w:val="left"/>
    </w:lvl>
  </w:abstractNum>
  <w:abstractNum w:abstractNumId="1" w15:restartNumberingAfterBreak="0">
    <w:nsid w:val="20F51941"/>
    <w:multiLevelType w:val="hybridMultilevel"/>
    <w:tmpl w:val="F0D0FC68"/>
    <w:lvl w:ilvl="0" w:tplc="C8FE4814">
      <w:start w:val="1"/>
      <w:numFmt w:val="bullet"/>
      <w:lvlText w:val="•"/>
      <w:lvlJc w:val="left"/>
      <w:pPr>
        <w:ind w:left="720" w:hanging="360"/>
      </w:pPr>
    </w:lvl>
    <w:lvl w:ilvl="1" w:tplc="B4709E50">
      <w:numFmt w:val="decimal"/>
      <w:lvlText w:val=""/>
      <w:lvlJc w:val="left"/>
    </w:lvl>
    <w:lvl w:ilvl="2" w:tplc="CD688480">
      <w:numFmt w:val="decimal"/>
      <w:lvlText w:val=""/>
      <w:lvlJc w:val="left"/>
    </w:lvl>
    <w:lvl w:ilvl="3" w:tplc="97F880D0">
      <w:numFmt w:val="decimal"/>
      <w:lvlText w:val=""/>
      <w:lvlJc w:val="left"/>
    </w:lvl>
    <w:lvl w:ilvl="4" w:tplc="11844CF8">
      <w:numFmt w:val="decimal"/>
      <w:lvlText w:val=""/>
      <w:lvlJc w:val="left"/>
    </w:lvl>
    <w:lvl w:ilvl="5" w:tplc="49300640">
      <w:numFmt w:val="decimal"/>
      <w:lvlText w:val=""/>
      <w:lvlJc w:val="left"/>
    </w:lvl>
    <w:lvl w:ilvl="6" w:tplc="46324324">
      <w:numFmt w:val="decimal"/>
      <w:lvlText w:val=""/>
      <w:lvlJc w:val="left"/>
    </w:lvl>
    <w:lvl w:ilvl="7" w:tplc="4F3E899C">
      <w:numFmt w:val="decimal"/>
      <w:lvlText w:val=""/>
      <w:lvlJc w:val="left"/>
    </w:lvl>
    <w:lvl w:ilvl="8" w:tplc="C50CF85A">
      <w:numFmt w:val="decimal"/>
      <w:lvlText w:val=""/>
      <w:lvlJc w:val="left"/>
    </w:lvl>
  </w:abstractNum>
  <w:abstractNum w:abstractNumId="2" w15:restartNumberingAfterBreak="0">
    <w:nsid w:val="2E1D4808"/>
    <w:multiLevelType w:val="hybridMultilevel"/>
    <w:tmpl w:val="5A7A6784"/>
    <w:lvl w:ilvl="0" w:tplc="9FBA4524">
      <w:start w:val="1"/>
      <w:numFmt w:val="bullet"/>
      <w:lvlText w:val="●"/>
      <w:lvlJc w:val="left"/>
      <w:pPr>
        <w:ind w:left="720" w:hanging="360"/>
      </w:pPr>
    </w:lvl>
    <w:lvl w:ilvl="1" w:tplc="FB629060">
      <w:start w:val="1"/>
      <w:numFmt w:val="bullet"/>
      <w:lvlText w:val="○"/>
      <w:lvlJc w:val="left"/>
      <w:pPr>
        <w:ind w:left="1440" w:hanging="360"/>
      </w:pPr>
    </w:lvl>
    <w:lvl w:ilvl="2" w:tplc="278471F6">
      <w:start w:val="1"/>
      <w:numFmt w:val="bullet"/>
      <w:lvlText w:val="■"/>
      <w:lvlJc w:val="left"/>
      <w:pPr>
        <w:ind w:left="2160" w:hanging="360"/>
      </w:pPr>
    </w:lvl>
    <w:lvl w:ilvl="3" w:tplc="772C5990">
      <w:start w:val="1"/>
      <w:numFmt w:val="bullet"/>
      <w:lvlText w:val="●"/>
      <w:lvlJc w:val="left"/>
      <w:pPr>
        <w:ind w:left="2880" w:hanging="360"/>
      </w:pPr>
    </w:lvl>
    <w:lvl w:ilvl="4" w:tplc="7BF61CDA">
      <w:start w:val="1"/>
      <w:numFmt w:val="bullet"/>
      <w:lvlText w:val="○"/>
      <w:lvlJc w:val="left"/>
      <w:pPr>
        <w:ind w:left="3600" w:hanging="360"/>
      </w:pPr>
    </w:lvl>
    <w:lvl w:ilvl="5" w:tplc="422A8F34">
      <w:start w:val="1"/>
      <w:numFmt w:val="bullet"/>
      <w:lvlText w:val="■"/>
      <w:lvlJc w:val="left"/>
      <w:pPr>
        <w:ind w:left="4320" w:hanging="360"/>
      </w:pPr>
    </w:lvl>
    <w:lvl w:ilvl="6" w:tplc="5C06CAFA">
      <w:start w:val="1"/>
      <w:numFmt w:val="bullet"/>
      <w:lvlText w:val="●"/>
      <w:lvlJc w:val="left"/>
      <w:pPr>
        <w:ind w:left="5040" w:hanging="360"/>
      </w:pPr>
    </w:lvl>
    <w:lvl w:ilvl="7" w:tplc="82AC61B2">
      <w:start w:val="1"/>
      <w:numFmt w:val="bullet"/>
      <w:lvlText w:val="●"/>
      <w:lvlJc w:val="left"/>
      <w:pPr>
        <w:ind w:left="5760" w:hanging="360"/>
      </w:pPr>
    </w:lvl>
    <w:lvl w:ilvl="8" w:tplc="5CDCFF62">
      <w:start w:val="1"/>
      <w:numFmt w:val="bullet"/>
      <w:lvlText w:val="●"/>
      <w:lvlJc w:val="left"/>
      <w:pPr>
        <w:ind w:left="6480" w:hanging="360"/>
      </w:pPr>
    </w:lvl>
  </w:abstractNum>
  <w:abstractNum w:abstractNumId="3" w15:restartNumberingAfterBreak="0">
    <w:nsid w:val="5FAB6FA0"/>
    <w:multiLevelType w:val="hybridMultilevel"/>
    <w:tmpl w:val="1B8AE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4978664">
    <w:abstractNumId w:val="2"/>
    <w:lvlOverride w:ilvl="0">
      <w:startOverride w:val="1"/>
    </w:lvlOverride>
  </w:num>
  <w:num w:numId="2" w16cid:durableId="1630357930">
    <w:abstractNumId w:val="1"/>
    <w:lvlOverride w:ilvl="0">
      <w:startOverride w:val="1"/>
    </w:lvlOverride>
  </w:num>
  <w:num w:numId="3" w16cid:durableId="1513883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8D3"/>
    <w:rsid w:val="00090955"/>
    <w:rsid w:val="00162282"/>
    <w:rsid w:val="00181757"/>
    <w:rsid w:val="001E3F53"/>
    <w:rsid w:val="0025459B"/>
    <w:rsid w:val="00273698"/>
    <w:rsid w:val="00292E85"/>
    <w:rsid w:val="002A2504"/>
    <w:rsid w:val="002D2E5B"/>
    <w:rsid w:val="00326308"/>
    <w:rsid w:val="00395373"/>
    <w:rsid w:val="0039564E"/>
    <w:rsid w:val="00413C28"/>
    <w:rsid w:val="00435E3F"/>
    <w:rsid w:val="00452F01"/>
    <w:rsid w:val="004C4D2A"/>
    <w:rsid w:val="004E2A4F"/>
    <w:rsid w:val="0052561E"/>
    <w:rsid w:val="005523E2"/>
    <w:rsid w:val="00566FAE"/>
    <w:rsid w:val="00601EBB"/>
    <w:rsid w:val="00633E8B"/>
    <w:rsid w:val="00656FDD"/>
    <w:rsid w:val="00661B64"/>
    <w:rsid w:val="006868D3"/>
    <w:rsid w:val="00687FCB"/>
    <w:rsid w:val="00746604"/>
    <w:rsid w:val="0076678D"/>
    <w:rsid w:val="007C0469"/>
    <w:rsid w:val="007F77B8"/>
    <w:rsid w:val="00827E5E"/>
    <w:rsid w:val="00921094"/>
    <w:rsid w:val="00933F84"/>
    <w:rsid w:val="009C65C0"/>
    <w:rsid w:val="00A1467A"/>
    <w:rsid w:val="00B06CE4"/>
    <w:rsid w:val="00B77B9B"/>
    <w:rsid w:val="00BD7AEC"/>
    <w:rsid w:val="00C941D6"/>
    <w:rsid w:val="00CD25DD"/>
    <w:rsid w:val="00F60425"/>
    <w:rsid w:val="00FB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2810E"/>
  <w15:docId w15:val="{0E8A5E7E-B98C-B442-B051-D582A9017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rFonts w:ascii="Georgia" w:eastAsia="Georgia" w:hAnsi="Georgia" w:cs="Georgia"/>
      <w:b/>
      <w:bCs/>
      <w:color w:val="1F4E79"/>
      <w:sz w:val="32"/>
      <w:szCs w:val="32"/>
    </w:rPr>
  </w:style>
  <w:style w:type="paragraph" w:styleId="Heading2">
    <w:name w:val="heading 2"/>
    <w:uiPriority w:val="9"/>
    <w:unhideWhenUsed/>
    <w:qFormat/>
    <w:pPr>
      <w:spacing w:before="280" w:after="120"/>
      <w:outlineLvl w:val="1"/>
    </w:pPr>
    <w:rPr>
      <w:rFonts w:ascii="Georgia" w:eastAsia="Georgia" w:hAnsi="Georgia" w:cs="Georgia"/>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GridTable4-Accent1">
    <w:name w:val="Grid Table 4 Accent 1"/>
    <w:basedOn w:val="TableNormal"/>
    <w:uiPriority w:val="49"/>
    <w:rsid w:val="00933F84"/>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06914f-44e5-4d7d-a5ff-3a28c6f4b369">
      <Terms xmlns="http://schemas.microsoft.com/office/infopath/2007/PartnerControls"/>
    </lcf76f155ced4ddcb4097134ff3c332f>
    <TaxCatchAll xmlns="dad4a9f3-2e1e-4919-874f-bf91ce1ba52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A4DA7255B28B4694770A53A5539B38" ma:contentTypeVersion="18" ma:contentTypeDescription="Create a new document." ma:contentTypeScope="" ma:versionID="1899c94a4b508401da50084da8c54e17">
  <xsd:schema xmlns:xsd="http://www.w3.org/2001/XMLSchema" xmlns:xs="http://www.w3.org/2001/XMLSchema" xmlns:p="http://schemas.microsoft.com/office/2006/metadata/properties" xmlns:ns2="1e06914f-44e5-4d7d-a5ff-3a28c6f4b369" xmlns:ns3="dad4a9f3-2e1e-4919-874f-bf91ce1ba52a" targetNamespace="http://schemas.microsoft.com/office/2006/metadata/properties" ma:root="true" ma:fieldsID="89a76d001a9de6ddba9b7096f6fa5bec" ns2:_="" ns3:_="">
    <xsd:import namespace="1e06914f-44e5-4d7d-a5ff-3a28c6f4b369"/>
    <xsd:import namespace="dad4a9f3-2e1e-4919-874f-bf91ce1ba52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LengthInSeconds" minOccurs="0"/>
                <xsd:element ref="ns2:MediaServiceSearchProperties" minOccurs="0"/>
                <xsd:element ref="ns2:MediaServiceObjectDetectorVersion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06914f-44e5-4d7d-a5ff-3a28c6f4b3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cbd9582-b7ae-4246-a421-b670bf08145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d4a9f3-2e1e-4919-874f-bf91ce1ba52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a88b5c4-dc14-4933-8131-4df58965bb75}" ma:internalName="TaxCatchAll" ma:showField="CatchAllData" ma:web="dad4a9f3-2e1e-4919-874f-bf91ce1ba52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97C486-3BE7-4AB4-A65B-9B9F104A51CF}">
  <ds:schemaRefs>
    <ds:schemaRef ds:uri="http://schemas.microsoft.com/office/2006/metadata/properties"/>
    <ds:schemaRef ds:uri="http://schemas.microsoft.com/office/infopath/2007/PartnerControls"/>
    <ds:schemaRef ds:uri="1e06914f-44e5-4d7d-a5ff-3a28c6f4b369"/>
    <ds:schemaRef ds:uri="dad4a9f3-2e1e-4919-874f-bf91ce1ba52a"/>
  </ds:schemaRefs>
</ds:datastoreItem>
</file>

<file path=customXml/itemProps2.xml><?xml version="1.0" encoding="utf-8"?>
<ds:datastoreItem xmlns:ds="http://schemas.openxmlformats.org/officeDocument/2006/customXml" ds:itemID="{2DB81638-2B30-4865-BF75-1DA23532F9F1}">
  <ds:schemaRefs>
    <ds:schemaRef ds:uri="http://schemas.microsoft.com/sharepoint/v3/contenttype/forms"/>
  </ds:schemaRefs>
</ds:datastoreItem>
</file>

<file path=customXml/itemProps3.xml><?xml version="1.0" encoding="utf-8"?>
<ds:datastoreItem xmlns:ds="http://schemas.openxmlformats.org/officeDocument/2006/customXml" ds:itemID="{937424E9-DB57-4F07-90C9-62D7512FCA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06914f-44e5-4d7d-a5ff-3a28c6f4b369"/>
    <ds:schemaRef ds:uri="dad4a9f3-2e1e-4919-874f-bf91ce1ba5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1384</Words>
  <Characters>7558</Characters>
  <Application>Microsoft Office Word</Application>
  <DocSecurity>0</DocSecurity>
  <Lines>204</Lines>
  <Paragraphs>120</Paragraphs>
  <ScaleCrop>false</ScaleCrop>
  <Company/>
  <LinksUpToDate>false</LinksUpToDate>
  <CharactersWithSpaces>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Shumard, Shelby</cp:lastModifiedBy>
  <cp:revision>40</cp:revision>
  <dcterms:created xsi:type="dcterms:W3CDTF">2026-03-17T15:37:00Z</dcterms:created>
  <dcterms:modified xsi:type="dcterms:W3CDTF">2026-03-24T18:56:00Z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0x01010051A4DA7255B28B4694770A53A5539B38</vt:lpwstr>
  </property>
</Properties>
</file>