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7F8D9C" w14:textId="77777777" w:rsidR="009F7FCE" w:rsidRPr="00EE426C" w:rsidRDefault="009B2539" w:rsidP="001B5FA2">
      <w:pPr>
        <w:pStyle w:val="papersubtitle"/>
      </w:pPr>
      <w:r>
        <w:t>Contribution Title</w:t>
      </w:r>
    </w:p>
    <w:p w14:paraId="23687DDA" w14:textId="7C4C19E6" w:rsidR="00000000" w:rsidRPr="00EE426C" w:rsidRDefault="0060239D" w:rsidP="00EE426C">
      <w:pPr>
        <w:pStyle w:val="author"/>
      </w:pPr>
      <w:r>
        <w:rPr>
          <w:rFonts w:hint="eastAsia"/>
          <w:lang w:eastAsia="zh-CN"/>
        </w:rPr>
        <w:t>Xiaodong Zheng</w:t>
      </w:r>
      <w:r>
        <w:rPr>
          <w:rStyle w:val="ORCID"/>
          <w:rFonts w:hint="eastAsia"/>
          <w:lang w:eastAsia="zh-CN"/>
        </w:rPr>
        <w:t xml:space="preserve"> </w:t>
      </w:r>
      <w:r w:rsidR="009B2539">
        <w:rPr>
          <w:rStyle w:val="ORCID"/>
        </w:rPr>
        <w:t>[-1111-2222-3333]</w:t>
      </w:r>
      <w:r w:rsidR="009B2539" w:rsidRPr="00EE426C">
        <w:t xml:space="preserve"> and </w:t>
      </w:r>
      <w:r w:rsidR="009B2539">
        <w:t>Second Author</w:t>
      </w:r>
      <w:r w:rsidR="009B2539" w:rsidRPr="00EE426C">
        <w:rPr>
          <w:vertAlign w:val="superscript"/>
        </w:rPr>
        <w:t>2</w:t>
      </w:r>
      <w:r w:rsidR="009B2539">
        <w:rPr>
          <w:rStyle w:val="ORCID"/>
        </w:rPr>
        <w:t>[1111-2222-3333-4444]</w:t>
      </w:r>
    </w:p>
    <w:p w14:paraId="7AB0E869" w14:textId="77777777" w:rsidR="00000000" w:rsidRPr="00EE426C" w:rsidRDefault="009B2539" w:rsidP="00EE426C">
      <w:pPr>
        <w:pStyle w:val="address"/>
      </w:pPr>
      <w:r w:rsidRPr="00EE426C">
        <w:rPr>
          <w:vertAlign w:val="superscript"/>
        </w:rPr>
        <w:t>1</w:t>
      </w:r>
      <w:r w:rsidRPr="00EE426C">
        <w:t xml:space="preserve"> Princeton University, Princeton NJ 08544, USA</w:t>
      </w:r>
    </w:p>
    <w:p w14:paraId="6FD10AA3" w14:textId="77777777" w:rsidR="00000000"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41921137" w14:textId="77777777" w:rsidR="00000000"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1BAB4A84" w14:textId="77777777" w:rsidR="00000000"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15567423" w14:textId="2643F6D4" w:rsidR="00000000" w:rsidRDefault="001B5FA2" w:rsidP="0060239D">
      <w:pPr>
        <w:pStyle w:val="heading1"/>
        <w:rPr>
          <w:lang w:eastAsia="zh-CN"/>
        </w:rPr>
      </w:pPr>
      <w:r>
        <w:rPr>
          <w:rFonts w:hint="eastAsia"/>
          <w:lang w:eastAsia="zh-CN"/>
        </w:rPr>
        <w:t>Introduction</w:t>
      </w:r>
    </w:p>
    <w:p w14:paraId="4C39BDD9" w14:textId="77777777" w:rsidR="00000336" w:rsidRDefault="00000336" w:rsidP="00000336">
      <w:pPr>
        <w:pStyle w:val="p1a"/>
        <w:rPr>
          <w:lang w:eastAsia="zh-CN"/>
        </w:rPr>
      </w:pPr>
      <w:r>
        <w:rPr>
          <w:lang w:eastAsia="zh-CN"/>
        </w:rPr>
        <w:t>As the grid scale expands, an increasing variety of devices are needed to be simultaneously controlled within the same network. New energy resources such as solar and wind power are greatly affected by weather conditions, as the efficiency of photovoltaic(PV) panels and wind turbines is influenced by the cloud cover level and wind conditions. Consequently, Voltage violations and the resulting high power losses become increasingly severe. Given this context, Volt-Var control(VVC) is an effective method for maintaining balance and improving the generating efficiency of the network.</w:t>
      </w:r>
    </w:p>
    <w:p w14:paraId="5E3512C2" w14:textId="77777777" w:rsidR="00000336" w:rsidRDefault="00000336" w:rsidP="00000336">
      <w:pPr>
        <w:pStyle w:val="p1a"/>
        <w:rPr>
          <w:lang w:eastAsia="zh-CN"/>
        </w:rPr>
      </w:pPr>
    </w:p>
    <w:p w14:paraId="351D9004" w14:textId="77777777" w:rsidR="00000336" w:rsidRDefault="00000336" w:rsidP="00000336">
      <w:pPr>
        <w:pStyle w:val="p1a"/>
        <w:rPr>
          <w:lang w:eastAsia="zh-CN"/>
        </w:rPr>
      </w:pPr>
      <w:r>
        <w:rPr>
          <w:lang w:eastAsia="zh-CN"/>
        </w:rPr>
        <w:t>Conventionally, network voltage through VVC is regulated by generating a series of decisions for controlling the voltage regulation device. Plentiful literature proposed non-linear programming methods to solve the VVC problem. Ref. \cite{liuReactivePowerVoltage2009} models VVC as an Optimal Power Flow(OPF) problem and solves it using mixed-integer nonlinear programming(MINLP). However, one essential problem for traditional methods is the requirement for perfect observation of the environment, necessitating the model to simulate the real environment accurately. This brings the difficulty of obtaining accurate observations of the environment and the high computational costs of making real-time decisions\cite{gebraadModelfreeDistributedApproach2013}.</w:t>
      </w:r>
    </w:p>
    <w:p w14:paraId="4A2AC6BD" w14:textId="77777777" w:rsidR="00000336" w:rsidRDefault="00000336" w:rsidP="00000336">
      <w:pPr>
        <w:pStyle w:val="p1a"/>
        <w:rPr>
          <w:lang w:eastAsia="zh-CN"/>
        </w:rPr>
      </w:pPr>
    </w:p>
    <w:p w14:paraId="66171FF8" w14:textId="77777777" w:rsidR="00000336" w:rsidRDefault="00000336" w:rsidP="00000336">
      <w:pPr>
        <w:pStyle w:val="p1a"/>
        <w:rPr>
          <w:lang w:eastAsia="zh-CN"/>
        </w:rPr>
      </w:pPr>
      <w:r>
        <w:rPr>
          <w:lang w:eastAsia="zh-CN"/>
        </w:rPr>
        <w:t>Deep Reinforcement Learning(DRL) describes a learning process that uses a reward mechanism to train a deep neural network(DNN) for solving complex problems. Specifically, the DNN serves as an agent that can interact with the environment\cite{arulkumaranDeepReinforcementLearning2017}. By outputting actions into the environment, the agent progresses the environment state and acquires corresponding rewards. In VVC control, the agent makes decisions that modify voltage-regulating devices, such as adjusting taps on regulators and shifting capacitor banks.</w:t>
      </w:r>
    </w:p>
    <w:p w14:paraId="203248BC" w14:textId="77777777" w:rsidR="00000336" w:rsidRDefault="00000336" w:rsidP="00000336">
      <w:pPr>
        <w:pStyle w:val="p1a"/>
        <w:rPr>
          <w:lang w:eastAsia="zh-CN"/>
        </w:rPr>
      </w:pPr>
    </w:p>
    <w:p w14:paraId="441D0D64" w14:textId="77777777" w:rsidR="00000336" w:rsidRDefault="00000336" w:rsidP="00000336">
      <w:pPr>
        <w:pStyle w:val="p1a"/>
        <w:rPr>
          <w:lang w:eastAsia="zh-CN"/>
        </w:rPr>
      </w:pPr>
      <w:r>
        <w:rPr>
          <w:lang w:eastAsia="zh-CN"/>
        </w:rPr>
        <w:t>One of the biggest advantages of DRL is that it can work in a model-free manner\cite{levineOfflineReinforcementLearning2020}.  Instead of requiring a perfect environment simulation, the DRL agent learns the environment dynamics from its interaction experience with the environment, resulting in more flexible and adaptive control strategies. Additionally, due to the non-linear nature of deep neural networks, DRL agents can autonomously handle high-dimensional data instead of manually extracting features.</w:t>
      </w:r>
    </w:p>
    <w:p w14:paraId="29979EE7" w14:textId="77777777" w:rsidR="00000336" w:rsidRDefault="00000336" w:rsidP="00000336">
      <w:pPr>
        <w:pStyle w:val="p1a"/>
        <w:rPr>
          <w:lang w:eastAsia="zh-CN"/>
        </w:rPr>
      </w:pPr>
    </w:p>
    <w:p w14:paraId="38B7DB23" w14:textId="77777777" w:rsidR="00000336" w:rsidRDefault="00000336" w:rsidP="00000336">
      <w:pPr>
        <w:pStyle w:val="p1a"/>
        <w:rPr>
          <w:lang w:eastAsia="zh-CN"/>
        </w:rPr>
      </w:pPr>
      <w:r>
        <w:rPr>
          <w:lang w:eastAsia="zh-CN"/>
        </w:rPr>
        <w:t>On the other hand, in online applications, traditional methods for VVC control require extensive computations to generate real-time decisions. In contrast, using the model to generate decisions may require a large amount of computation to train the model in advance. However, in tasks that need timely response, the trained model can often make more rapid inferences and decisions with smaller computational resources since the model has already learned the patterns and features of the system.</w:t>
      </w:r>
    </w:p>
    <w:p w14:paraId="005E91AE" w14:textId="77777777" w:rsidR="00000336" w:rsidRDefault="00000336" w:rsidP="00000336">
      <w:pPr>
        <w:pStyle w:val="p1a"/>
        <w:rPr>
          <w:lang w:eastAsia="zh-CN"/>
        </w:rPr>
      </w:pPr>
    </w:p>
    <w:p w14:paraId="18F3948C" w14:textId="47076A05" w:rsidR="00000336" w:rsidRPr="00000336" w:rsidRDefault="00000336" w:rsidP="00000336">
      <w:pPr>
        <w:pStyle w:val="p1a"/>
        <w:rPr>
          <w:rFonts w:hint="eastAsia"/>
          <w:lang w:eastAsia="zh-CN"/>
        </w:rPr>
      </w:pPr>
      <w:r>
        <w:rPr>
          <w:lang w:eastAsia="zh-CN"/>
        </w:rPr>
        <w:t>Based on the implementation mechanism, current DRL-based methods for addressing VVC control primarily concentrate on directly controlling either a single or multiple types of devices, albeit at different stages. \refcite{liuTwostageDeepReinforcement2021} propose a two-stage SAC-based algorithm \refcite{haarnojaSoftActorcriticOffpolicy2018} using both offline and online training stages to train the DRL agent. While SAC is indeed an effective DRL algorithm in continuous control, pursuing maximum entropy in VVC action search brings an unstable early exploring phase, which is harmful to the system in online scenarios. \refcite{yangTwotimescaleVoltageControl2020} introduce a two-time scale method to effectively control the capacitor banks and inverters within the grid. This approach aims to synchronize the regulation processes of these two types of devices, each of which operates on different time scales. While DRL training is employed to control the inverters, the capacitor banks are still controlled by traditional methods. This disparate treatment could lead to computational challenges in real-time scenarios, and the scalability for simultaneously controlling variety of devices within the same network is limited.</w:t>
      </w:r>
    </w:p>
    <w:p w14:paraId="30B20F73" w14:textId="77777777" w:rsidR="00000000" w:rsidRPr="006809AE" w:rsidRDefault="009B2539" w:rsidP="006809AE">
      <w:pPr>
        <w:pStyle w:val="heading2"/>
        <w:spacing w:before="0"/>
      </w:pPr>
      <w:r>
        <w:t>A Subsection</w:t>
      </w:r>
      <w:r w:rsidRPr="003E3370">
        <w:t xml:space="preserve"> </w:t>
      </w:r>
      <w:r>
        <w:t>Sample</w:t>
      </w:r>
    </w:p>
    <w:p w14:paraId="3A07731D" w14:textId="77777777" w:rsidR="00000000"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4AD7EC30" w14:textId="77777777" w:rsidR="00000000" w:rsidRDefault="009B2539" w:rsidP="00C24DEF">
      <w:r>
        <w:t>Subsequent paragraphs, however, are indented.</w:t>
      </w:r>
    </w:p>
    <w:p w14:paraId="588CC04F" w14:textId="77777777" w:rsidR="00000000" w:rsidRDefault="009B2539" w:rsidP="009930E4">
      <w:pPr>
        <w:pStyle w:val="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14:paraId="2ABA6C7E" w14:textId="77777777" w:rsidR="00000000" w:rsidRDefault="009B2539" w:rsidP="009930E4">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14:paraId="4CE0F6CA" w14:textId="77777777" w:rsidR="00000000" w:rsidRDefault="009B2539" w:rsidP="00DB42F5">
      <w:pPr>
        <w:pStyle w:val="tablecaption"/>
      </w:pPr>
      <w:bookmarkStart w:id="0" w:name="_Ref467509391"/>
      <w:r>
        <w:rPr>
          <w:b/>
        </w:rPr>
        <w:lastRenderedPageBreak/>
        <w:t xml:space="preserve">Table </w:t>
      </w:r>
      <w:r>
        <w:rPr>
          <w:b/>
        </w:rPr>
        <w:fldChar w:fldCharType="begin"/>
      </w:r>
      <w:r>
        <w:rPr>
          <w:b/>
        </w:rPr>
        <w:instrText xml:space="preserve"> SEQ "Table" \* MERGEFORMAT </w:instrText>
      </w:r>
      <w:r>
        <w:rPr>
          <w:b/>
        </w:rPr>
        <w:fldChar w:fldCharType="separate"/>
      </w:r>
      <w:r w:rsidR="001B5FA2">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18D55FD1" w14:textId="77777777" w:rsidTr="0051304D">
        <w:trPr>
          <w:jc w:val="center"/>
        </w:trPr>
        <w:tc>
          <w:tcPr>
            <w:tcW w:w="1664" w:type="dxa"/>
            <w:tcBorders>
              <w:top w:val="single" w:sz="12" w:space="0" w:color="000000"/>
              <w:bottom w:val="single" w:sz="6" w:space="0" w:color="000000"/>
            </w:tcBorders>
          </w:tcPr>
          <w:p w14:paraId="6D687521" w14:textId="77777777" w:rsidR="00000000"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5B625358" w14:textId="77777777" w:rsidR="00000000"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6624476F" w14:textId="77777777" w:rsidR="00000000" w:rsidRPr="009A3755" w:rsidRDefault="009B2539" w:rsidP="0051304D">
            <w:pPr>
              <w:ind w:firstLine="0"/>
              <w:jc w:val="left"/>
              <w:rPr>
                <w:sz w:val="18"/>
                <w:szCs w:val="18"/>
              </w:rPr>
            </w:pPr>
            <w:r w:rsidRPr="009A3755">
              <w:rPr>
                <w:sz w:val="18"/>
                <w:szCs w:val="18"/>
              </w:rPr>
              <w:t>Font size and style</w:t>
            </w:r>
          </w:p>
        </w:tc>
      </w:tr>
      <w:tr w:rsidR="00A97482" w:rsidRPr="009A3755" w14:paraId="250A1677" w14:textId="77777777" w:rsidTr="0051304D">
        <w:trPr>
          <w:trHeight w:val="284"/>
          <w:jc w:val="center"/>
        </w:trPr>
        <w:tc>
          <w:tcPr>
            <w:tcW w:w="1664" w:type="dxa"/>
            <w:vAlign w:val="center"/>
          </w:tcPr>
          <w:p w14:paraId="4CC99D62" w14:textId="77777777" w:rsidR="00000000"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6DA784E0" w14:textId="77777777" w:rsidR="00000000"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4EA18221" w14:textId="77777777" w:rsidR="00000000" w:rsidRPr="009A3755" w:rsidRDefault="009B2539" w:rsidP="0051304D">
            <w:pPr>
              <w:ind w:firstLine="0"/>
              <w:jc w:val="left"/>
              <w:rPr>
                <w:sz w:val="18"/>
                <w:szCs w:val="18"/>
              </w:rPr>
            </w:pPr>
            <w:r w:rsidRPr="009A3755">
              <w:rPr>
                <w:sz w:val="18"/>
                <w:szCs w:val="18"/>
              </w:rPr>
              <w:t>14 point, bold</w:t>
            </w:r>
          </w:p>
        </w:tc>
      </w:tr>
      <w:tr w:rsidR="00A97482" w:rsidRPr="009A3755" w14:paraId="29D620B2" w14:textId="77777777" w:rsidTr="0051304D">
        <w:trPr>
          <w:trHeight w:val="284"/>
          <w:jc w:val="center"/>
        </w:trPr>
        <w:tc>
          <w:tcPr>
            <w:tcW w:w="1664" w:type="dxa"/>
            <w:vAlign w:val="center"/>
          </w:tcPr>
          <w:p w14:paraId="0F0C8AFB" w14:textId="77777777" w:rsidR="00000000"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6F3C780D" w14:textId="77777777" w:rsidR="00000000"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7DD685C0" w14:textId="77777777" w:rsidR="00000000" w:rsidRPr="009A3755" w:rsidRDefault="009B2539" w:rsidP="0051304D">
            <w:pPr>
              <w:ind w:firstLine="0"/>
              <w:jc w:val="left"/>
              <w:rPr>
                <w:sz w:val="18"/>
                <w:szCs w:val="18"/>
              </w:rPr>
            </w:pPr>
            <w:r w:rsidRPr="009A3755">
              <w:rPr>
                <w:sz w:val="18"/>
                <w:szCs w:val="18"/>
              </w:rPr>
              <w:t>12 point, bold</w:t>
            </w:r>
          </w:p>
        </w:tc>
      </w:tr>
      <w:tr w:rsidR="00A97482" w:rsidRPr="009A3755" w14:paraId="04D2E614" w14:textId="77777777" w:rsidTr="0051304D">
        <w:trPr>
          <w:trHeight w:val="284"/>
          <w:jc w:val="center"/>
        </w:trPr>
        <w:tc>
          <w:tcPr>
            <w:tcW w:w="1664" w:type="dxa"/>
            <w:vAlign w:val="center"/>
          </w:tcPr>
          <w:p w14:paraId="16B10F94" w14:textId="77777777" w:rsidR="00000000"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21AF5C1C" w14:textId="77777777" w:rsidR="00000000" w:rsidRPr="009A3755" w:rsidRDefault="009B2539" w:rsidP="0051304D">
            <w:pPr>
              <w:ind w:firstLine="0"/>
              <w:jc w:val="left"/>
              <w:rPr>
                <w:sz w:val="18"/>
                <w:szCs w:val="18"/>
              </w:rPr>
            </w:pPr>
            <w:r w:rsidRPr="00192151">
              <w:rPr>
                <w:b/>
                <w:bCs/>
                <w:szCs w:val="18"/>
              </w:rPr>
              <w:t>2.1 Printing Area</w:t>
            </w:r>
          </w:p>
        </w:tc>
        <w:tc>
          <w:tcPr>
            <w:tcW w:w="1724" w:type="dxa"/>
            <w:vAlign w:val="center"/>
          </w:tcPr>
          <w:p w14:paraId="5F6D729D" w14:textId="77777777" w:rsidR="00000000" w:rsidRPr="009A3755" w:rsidRDefault="009B2539" w:rsidP="0051304D">
            <w:pPr>
              <w:ind w:firstLine="0"/>
              <w:jc w:val="left"/>
              <w:rPr>
                <w:sz w:val="18"/>
                <w:szCs w:val="18"/>
              </w:rPr>
            </w:pPr>
            <w:r w:rsidRPr="009A3755">
              <w:rPr>
                <w:sz w:val="18"/>
                <w:szCs w:val="18"/>
              </w:rPr>
              <w:t>10 point, bold</w:t>
            </w:r>
          </w:p>
        </w:tc>
      </w:tr>
      <w:tr w:rsidR="00A97482" w:rsidRPr="009A3755" w14:paraId="121D7285" w14:textId="77777777" w:rsidTr="0051304D">
        <w:trPr>
          <w:trHeight w:val="284"/>
          <w:jc w:val="center"/>
        </w:trPr>
        <w:tc>
          <w:tcPr>
            <w:tcW w:w="1664" w:type="dxa"/>
            <w:vAlign w:val="center"/>
          </w:tcPr>
          <w:p w14:paraId="29D1361A" w14:textId="77777777" w:rsidR="00000000"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5A155D0F" w14:textId="77777777" w:rsidR="00000000"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009FEB95" w14:textId="77777777" w:rsidR="00000000" w:rsidRPr="009A3755" w:rsidRDefault="009B2539" w:rsidP="0051304D">
            <w:pPr>
              <w:ind w:firstLine="0"/>
              <w:jc w:val="left"/>
              <w:rPr>
                <w:sz w:val="18"/>
                <w:szCs w:val="18"/>
              </w:rPr>
            </w:pPr>
            <w:r w:rsidRPr="009A3755">
              <w:rPr>
                <w:sz w:val="18"/>
                <w:szCs w:val="18"/>
              </w:rPr>
              <w:t>10 point, bold</w:t>
            </w:r>
          </w:p>
        </w:tc>
      </w:tr>
      <w:tr w:rsidR="00A97482" w:rsidRPr="009A3755" w14:paraId="249BB22B" w14:textId="77777777" w:rsidTr="0051304D">
        <w:trPr>
          <w:trHeight w:val="284"/>
          <w:jc w:val="center"/>
        </w:trPr>
        <w:tc>
          <w:tcPr>
            <w:tcW w:w="1664" w:type="dxa"/>
            <w:tcBorders>
              <w:bottom w:val="single" w:sz="12" w:space="0" w:color="000000"/>
            </w:tcBorders>
            <w:vAlign w:val="center"/>
          </w:tcPr>
          <w:p w14:paraId="0EBF256C" w14:textId="77777777" w:rsidR="00000000"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560B5BB0" w14:textId="77777777" w:rsidR="00000000"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0CC96105" w14:textId="77777777" w:rsidR="00000000" w:rsidRPr="009A3755" w:rsidRDefault="009B2539" w:rsidP="0051304D">
            <w:pPr>
              <w:ind w:firstLine="0"/>
              <w:jc w:val="left"/>
              <w:rPr>
                <w:sz w:val="18"/>
                <w:szCs w:val="18"/>
              </w:rPr>
            </w:pPr>
            <w:r w:rsidRPr="009A3755">
              <w:rPr>
                <w:sz w:val="18"/>
                <w:szCs w:val="18"/>
              </w:rPr>
              <w:t>10 point, italic</w:t>
            </w:r>
          </w:p>
        </w:tc>
      </w:tr>
    </w:tbl>
    <w:p w14:paraId="040EDBB0" w14:textId="77777777" w:rsidR="00000000" w:rsidRDefault="009B2539" w:rsidP="00EC51EE">
      <w:pPr>
        <w:spacing w:before="240"/>
        <w:ind w:firstLine="0"/>
      </w:pPr>
      <w:r>
        <w:t xml:space="preserve">Displayed equations are centered and set on a separate line. </w:t>
      </w:r>
    </w:p>
    <w:p w14:paraId="490EAE07" w14:textId="77777777" w:rsidR="00000000"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1B5FA2">
          <w:rPr>
            <w:noProof/>
          </w:rPr>
          <w:t>1</w:t>
        </w:r>
      </w:fldSimple>
      <w:bookmarkStart w:id="1" w:name="_Ref467511674"/>
      <w:bookmarkEnd w:id="1"/>
      <w:r>
        <w:t>)</w:t>
      </w:r>
    </w:p>
    <w:p w14:paraId="53371A22" w14:textId="77777777" w:rsidR="00000000"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03F27128" w14:textId="77777777" w:rsidR="00000000" w:rsidRPr="00EE1BBB" w:rsidRDefault="009B2539" w:rsidP="00EE1BBB">
      <w:pPr>
        <w:spacing w:before="360"/>
        <w:ind w:left="227" w:hanging="227"/>
      </w:pPr>
      <w:r>
        <w:rPr>
          <w:noProof/>
          <w:lang w:val="de-DE" w:eastAsia="de-DE"/>
        </w:rPr>
        <w:drawing>
          <wp:inline distT="0" distB="0" distL="0" distR="0" wp14:anchorId="107A9A8B" wp14:editId="4A879000">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06EBC71A" w14:textId="77777777" w:rsidR="00000000" w:rsidRDefault="009B2539" w:rsidP="001D7555">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1B5FA2">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E41F36F"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6324ABA2" w14:textId="77777777" w:rsidR="00000000" w:rsidRDefault="009B2539" w:rsidP="00606587">
      <w:pPr>
        <w:pStyle w:val="heading1"/>
        <w:numPr>
          <w:ilvl w:val="0"/>
          <w:numId w:val="0"/>
        </w:numPr>
        <w:ind w:left="567" w:hanging="567"/>
      </w:pPr>
      <w:r>
        <w:t>References</w:t>
      </w:r>
    </w:p>
    <w:p w14:paraId="10D95C8B" w14:textId="77777777" w:rsidR="00000000" w:rsidRDefault="009B2539" w:rsidP="00606587">
      <w:pPr>
        <w:pStyle w:val="referenceitem"/>
      </w:pPr>
      <w:r>
        <w:t>Author, F.: Article title. Journal 2(5), 99–110 (2016).</w:t>
      </w:r>
    </w:p>
    <w:p w14:paraId="7DBFE92E" w14:textId="77777777" w:rsidR="00000000" w:rsidRDefault="009B2539" w:rsidP="00606587">
      <w:pPr>
        <w:pStyle w:val="referenceitem"/>
      </w:pPr>
      <w:r>
        <w:t xml:space="preserve">Author, F., Author, S.: Title of a proceedings paper. In: Editor, F., Editor, S. (eds.) CONFERENCE 2016, LNCS, vol. 9999, pp. 1–13. Springer, Heidelberg (2016). </w:t>
      </w:r>
    </w:p>
    <w:p w14:paraId="46617BC0" w14:textId="77777777" w:rsidR="00000000" w:rsidRDefault="009B2539" w:rsidP="00606587">
      <w:pPr>
        <w:pStyle w:val="referenceitem"/>
      </w:pPr>
      <w:r>
        <w:t>Author, F., Author, S., Author, T.: Book title. 2nd edn. Publisher, Location (1999).</w:t>
      </w:r>
    </w:p>
    <w:p w14:paraId="24D56020" w14:textId="77777777" w:rsidR="00000000" w:rsidRDefault="009B2539" w:rsidP="00606587">
      <w:pPr>
        <w:pStyle w:val="referenceitem"/>
      </w:pPr>
      <w:r>
        <w:lastRenderedPageBreak/>
        <w:t>Author, F.: Contribution title. In: 9th International Proceedings on Proceedings, pp. 1–2. Publisher, Location (2010).</w:t>
      </w:r>
    </w:p>
    <w:p w14:paraId="28D56A44" w14:textId="77777777" w:rsidR="00000000" w:rsidRPr="00606587" w:rsidRDefault="009B2539" w:rsidP="00606587">
      <w:pPr>
        <w:pStyle w:val="referenceitem"/>
      </w:pPr>
      <w:r>
        <w:t xml:space="preserve">LNCS Homepage, </w:t>
      </w:r>
      <w:hyperlink r:id="rId9" w:history="1">
        <w:r w:rsidRPr="00FB3EC4">
          <w:rPr>
            <w:rStyle w:val="a5"/>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FF2373" w14:textId="77777777" w:rsidR="00AF1B27" w:rsidRDefault="00AF1B27">
      <w:r>
        <w:separator/>
      </w:r>
    </w:p>
  </w:endnote>
  <w:endnote w:type="continuationSeparator" w:id="0">
    <w:p w14:paraId="7F6BB3D7" w14:textId="77777777" w:rsidR="00AF1B27" w:rsidRDefault="00AF1B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宋体">
    <w:altName w:val="SimSun"/>
    <w:panose1 w:val="02010600030101010101"/>
    <w:charset w:val="86"/>
    <w:family w:val="auto"/>
    <w:pitch w:val="variable"/>
    <w:sig w:usb0="00000203" w:usb1="288F0000" w:usb2="00000016" w:usb3="00000000" w:csb0="00040001" w:csb1="00000000"/>
  </w:font>
  <w:font w:name="Courier">
    <w:altName w:val="Courier New"/>
    <w:panose1 w:val="00000000000000000000"/>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C2D378" w14:textId="77777777" w:rsidR="00AF1B27" w:rsidRDefault="00AF1B27" w:rsidP="009F7FCE">
      <w:pPr>
        <w:ind w:firstLine="0"/>
      </w:pPr>
      <w:r>
        <w:separator/>
      </w:r>
    </w:p>
  </w:footnote>
  <w:footnote w:type="continuationSeparator" w:id="0">
    <w:p w14:paraId="216DC050" w14:textId="77777777" w:rsidR="00AF1B27" w:rsidRDefault="00AF1B2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CBE4C5"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4C7434"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28260469">
    <w:abstractNumId w:val="0"/>
  </w:num>
  <w:num w:numId="2" w16cid:durableId="316809464">
    <w:abstractNumId w:val="0"/>
  </w:num>
  <w:num w:numId="3" w16cid:durableId="2094280118">
    <w:abstractNumId w:val="1"/>
  </w:num>
  <w:num w:numId="4" w16cid:durableId="788164192">
    <w:abstractNumId w:val="1"/>
  </w:num>
  <w:num w:numId="5" w16cid:durableId="423888633">
    <w:abstractNumId w:val="3"/>
  </w:num>
  <w:num w:numId="6" w16cid:durableId="1353804456">
    <w:abstractNumId w:val="3"/>
  </w:num>
  <w:num w:numId="7" w16cid:durableId="349721391">
    <w:abstractNumId w:val="2"/>
  </w:num>
  <w:num w:numId="8" w16cid:durableId="2132430628">
    <w:abstractNumId w:val="4"/>
  </w:num>
  <w:num w:numId="9" w16cid:durableId="78107178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1"/>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0336"/>
    <w:rsid w:val="001A02F0"/>
    <w:rsid w:val="001B5FA2"/>
    <w:rsid w:val="002D48C5"/>
    <w:rsid w:val="0060239D"/>
    <w:rsid w:val="007C03D4"/>
    <w:rsid w:val="008F2D4C"/>
    <w:rsid w:val="009930E4"/>
    <w:rsid w:val="009B2539"/>
    <w:rsid w:val="009F7FCE"/>
    <w:rsid w:val="00AF1B27"/>
    <w:rsid w:val="00B23481"/>
    <w:rsid w:val="00DC2CA9"/>
    <w:rsid w:val="00E603C7"/>
    <w:rsid w:val="00F10A7B"/>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50CECC1"/>
  <w15:docId w15:val="{888C39B5-6B5B-5849-AD37-2197F7E89E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6BA4-5F4A-8555-E75C9BF13771}"/>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6BA4-5F4A-8555-E75C9BF13771}"/>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6BA4-5F4A-8555-E75C9BF13771}"/>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.~WRD0001</Template>
  <TotalTime>2</TotalTime>
  <Pages>4</Pages>
  <Words>1040</Words>
  <Characters>5934</Characters>
  <Application>Microsoft Office Word</Application>
  <DocSecurity>0</DocSecurity>
  <Lines>49</Lines>
  <Paragraphs>13</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6961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Xiaodong Zheng</cp:lastModifiedBy>
  <cp:revision>7</cp:revision>
  <dcterms:created xsi:type="dcterms:W3CDTF">2017-02-26T12:30:00Z</dcterms:created>
  <dcterms:modified xsi:type="dcterms:W3CDTF">2024-06-01T05:47:00Z</dcterms:modified>
</cp:coreProperties>
</file>