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562 Reardon Private, Ottawa,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Applied computer science as well as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rStyle w:val="NormalBold"/>
          <w:rFonts w:ascii="Calibri" w:hAnsi="Calibri" w:cs="Calibri"/>
          <w:lang w:val="en-CA"/>
        </w:rPr>
      </w:pPr>
      <w:r>
        <w:rPr>
          <w:rFonts w:cs="Calibri" w:ascii="Calibri" w:hAnsi="Calibri"/>
          <w:lang w:val="en-CA"/>
        </w:rPr>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tabs>
          <w:tab w:val="clear" w:pos="9360"/>
        </w:tabs>
        <w:spacing w:before="0" w:after="0"/>
        <w:ind w:left="360" w:right="0" w:hanging="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rStyle w:val="NormalItalic"/>
          <w:rFonts w:ascii="Calibri" w:hAnsi="Calibri" w:cs="Calibri"/>
          <w:lang w:val="en-CA"/>
        </w:rPr>
      </w:pPr>
      <w:r>
        <w:rPr>
          <w:rFonts w:cs="Calibri" w:ascii="Calibri" w:hAnsi="Calibri"/>
          <w:lang w:val="en-CA"/>
        </w:rPr>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financials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4</Pages>
  <Words>1025</Words>
  <Characters>6051</Characters>
  <CharactersWithSpaces>6955</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