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i w:val="0"/>
        </w:rPr>
        <w:t xml:space="preserve">Software Usability Evaluation</w:t>
      </w:r>
    </w:p>
    <w:p>
      <w:pPr>
        <w:spacing w:after="600"/>
        <w:jc w:val="center"/>
      </w:pPr>
      <w:r>
        <w:rPr>
          <w:b w:val="0"/>
          <w:i w:val="0"/>
        </w:rPr>
        <w:t xml:space="preserve">ShelfSense: A Web-Based Integrated Retail Management System with Facial Recognition Attendance Verification, Multi-Role Human Resource Administration, Supplier-Linked Inventory Procurement, and Point-of-Sale Transaction Processing for Small and Medium Retail Enterprises</w:t>
      </w:r>
    </w:p>
    <w:p>
      <w:pPr>
        <w:spacing w:after="400"/>
        <w:jc w:val="center"/>
      </w:pPr>
      <w:r>
        <w:rPr>
          <w:b w:val="0"/>
          <w:i w:val="0"/>
        </w:rPr>
        <w:t xml:space="preserve">A Mini Thesis Project</w:t>
      </w:r>
    </w:p>
    <w:p>
      <w:pPr>
        <w:spacing w:after="200"/>
        <w:jc w:val="center"/>
      </w:pPr>
      <w:r>
        <w:rPr>
          <w:b w:val="0"/>
          <w:i w:val="0"/>
        </w:rPr>
        <w:t xml:space="preserve">Presented to the Faculty of</w:t>
      </w:r>
    </w:p>
    <w:p>
      <w:pPr>
        <w:spacing w:after="200"/>
        <w:jc w:val="center"/>
      </w:pPr>
      <w:r>
        <w:rPr>
          <w:b w:val="0"/>
          <w:i w:val="0"/>
        </w:rPr>
        <w:t xml:space="preserve">Computer Studies Department</w:t>
      </w:r>
    </w:p>
    <w:p>
      <w:pPr>
        <w:spacing w:after="600"/>
        <w:jc w:val="center"/>
      </w:pPr>
      <w:r>
        <w:rPr>
          <w:b/>
          <w:i w:val="0"/>
        </w:rPr>
        <w:t xml:space="preserve">National College of Science and Technology</w:t>
      </w:r>
    </w:p>
    <w:p>
      <w:pPr>
        <w:spacing w:after="200"/>
        <w:jc w:val="center"/>
      </w:pPr>
      <w:r>
        <w:rPr>
          <w:b w:val="0"/>
          <w:i w:val="0"/>
        </w:rPr>
        <w:t xml:space="preserve">In Partial Fulfillment</w:t>
      </w:r>
    </w:p>
    <w:p>
      <w:pPr>
        <w:spacing w:after="200"/>
        <w:jc w:val="center"/>
      </w:pPr>
      <w:r>
        <w:rPr>
          <w:b w:val="0"/>
          <w:i w:val="0"/>
        </w:rPr>
        <w:t xml:space="preserve">Of the Requirements for the Degree</w:t>
      </w:r>
    </w:p>
    <w:p>
      <w:pPr>
        <w:spacing w:after="800"/>
        <w:jc w:val="center"/>
      </w:pPr>
      <w:r>
        <w:rPr>
          <w:b/>
          <w:i w:val="0"/>
        </w:rPr>
        <w:t xml:space="preserve">Bachelor of Science in Information Technology</w:t>
      </w:r>
    </w:p>
    <w:p>
      <w:pPr>
        <w:spacing w:after="200"/>
      </w:pPr>
      <w:r>
        <w:rPr>
          <w:b w:val="0"/>
          <w:i w:val="0"/>
        </w:rPr>
        <w:t xml:space="preserve">Submitted By:</w:t>
      </w:r>
    </w:p>
    <w:p>
      <w:pPr>
        <w:spacing w:after="40"/>
      </w:pPr>
      <w:r>
        <w:rPr>
          <w:b w:val="0"/>
          <w:i w:val="0"/>
        </w:rPr>
        <w:t xml:space="preserve">______________________________</w:t>
      </w:r>
    </w:p>
    <w:p>
      <w:pPr>
        <w:spacing w:after="200"/>
      </w:pPr>
      <w:r>
        <w:rPr>
          <w:b w:val="0"/>
          <w:i w:val="0"/>
        </w:rPr>
        <w:t xml:space="preserve">Researchers</w:t>
      </w:r>
    </w:p>
    <w:p>
      <w:pPr>
        <w:spacing w:after="600"/>
      </w:pPr>
      <w:r>
        <w:rPr>
          <w:b w:val="0"/>
          <w:i w:val="0"/>
        </w:rPr>
        <w:t xml:space="preserve">Program and Section: ________________________</w:t>
      </w:r>
    </w:p>
    <w:p>
      <w:pPr>
        <w:spacing w:after="200"/>
      </w:pPr>
      <w:r>
        <w:rPr>
          <w:b w:val="0"/>
          <w:i w:val="0"/>
        </w:rPr>
        <w:t xml:space="preserve">Submitted To:</w:t>
      </w:r>
    </w:p>
    <w:p>
      <w:pPr>
        <w:spacing w:after="40"/>
      </w:pPr>
      <w:r>
        <w:rPr>
          <w:b w:val="0"/>
          <w:i w:val="0"/>
        </w:rPr>
        <w:t xml:space="preserve">______________________________</w:t>
      </w:r>
    </w:p>
    <w:p>
      <w:pPr>
        <w:spacing w:after="200"/>
      </w:pPr>
      <w:r>
        <w:rPr>
          <w:b w:val="0"/>
          <w:i w:val="0"/>
        </w:rPr>
        <w:t xml:space="preserve">Project Adviser</w:t>
      </w:r>
    </w:p>
    <w:p>
      <w:pPr>
        <w:spacing w:after="0"/>
      </w:pPr>
      <w:r>
        <w:rPr>
          <w:b w:val="0"/>
          <w:i w:val="0"/>
        </w:rPr>
        <w:t xml:space="preserve">Date Submitted: ________________________</w:t>
      </w:r>
    </w:p>
    <w:p>
      <w:r>
        <w:br w:type="page"/>
      </w:r>
    </w:p>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(Hong &amp; Nordin, 2023). Facial recognition is a biometric method that can be used to verify identity at the time of clock-in (Valenzuela et al., 2025; Senapartha &amp; Nendya, 2024).</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p>
      <w:r>
        <w:br w:type="page"/>
      </w:r>
    </w:p>
    <w:p>
      <w:pPr>
        <w:spacing w:after="200"/>
        <w:jc w:val="center"/>
      </w:pPr>
      <w:r>
        <w:rPr>
          <w:b/>
          <w:i w:val="0"/>
        </w:rPr>
        <w:t>Review of Related Literature</w:t>
      </w:r>
    </w:p>
    <w:p>
      <w:pPr>
        <w:keepNext/>
        <w:spacing w:after="80" w:before="200"/>
      </w:pPr>
      <w:r>
        <w:rPr>
          <w:b/>
          <w:i w:val="0"/>
        </w:rPr>
        <w:t>Usability Concepts and Standards</w:t>
      </w:r>
    </w:p>
    <w:p>
      <w:pPr>
        <w:spacing w:after="120"/>
        <w:jc w:val="both"/>
      </w:pPr>
      <w:r>
        <w:rPr>
          <w:b w:val="0"/>
          <w:i w:val="0"/>
        </w:rPr>
        <w:t>Recent usability studies of Philippine and Indonesian information systems continue to apply the ISO 9241-11 framework, which separates usability into effectiveness, the accuracy and completeness with which users reach their goals; efficiency, the resources expended relative to that accuracy and completeness; and satisfaction, the user's comfort and attitude toward the system (Deluma et al., 2023; Yulizar &amp; Nabila, 2023). This study adopts the same first two components, effectiveness and efficiency, operationalized as functional correctness, task completion, and role-based access control for effectiveness, and processing time for efficiency.</w:t>
      </w:r>
    </w:p>
    <w:p>
      <w:pPr>
        <w:spacing w:after="120"/>
        <w:jc w:val="both"/>
      </w:pPr>
      <w:r>
        <w:rPr>
          <w:b w:val="0"/>
          <w:i w:val="0"/>
        </w:rPr>
        <w:t>Deluma et al. (2023) evaluated a campus information system using performance measurement for effectiveness and efficiency and the System Usability Scale (SUS) for satisfaction, and found effectiveness and efficiency rated good at 98% and 95%, while satisfaction fell below standard at 59%. Yulizar and Nabila (2023) applied the same three-part framework to a hotel management information system and likewise found effectiveness acceptable at 83% while the SUS satisfaction score, 58.55, fell in the marginal category. Both studies show that a system can perform its functions correctly while still scoring poorly on user-reported satisfaction, which supports this study's decision to measure functional correctness, task completion, and processing time directly through reviewer evaluation of each module, rather than inferring them from a single combined satisfaction score.</w:t>
      </w:r>
    </w:p>
    <w:p>
      <w:pPr>
        <w:keepNext/>
        <w:spacing w:after="80" w:before="200"/>
      </w:pPr>
      <w:r>
        <w:rPr>
          <w:b/>
          <w:i w:val="0"/>
        </w:rPr>
        <w:t>Facial Recognition and Biometric Attendance Verification</w:t>
      </w:r>
    </w:p>
    <w:p>
      <w:pPr>
        <w:spacing w:after="120"/>
        <w:jc w:val="both"/>
      </w:pPr>
      <w:r>
        <w:rPr>
          <w:b w:val="0"/>
          <w:i w:val="0"/>
        </w:rPr>
        <w:t>Valenzuela et al. (2025) developed and evaluated a facial recognition-based computer laboratory attendance monitoring system using the ISO 9126 quality model. Thirty respondents, composed of students and IT professionals, rated the system across functionality, reliability, usability, efficiency, maintainability, and portability, producing a grand mean of 4.2, interpreted as Strongly Agree, though the authors also noted recognition accuracy issues under varying lighting conditions and hardware constraints.</w:t>
      </w:r>
    </w:p>
    <w:p>
      <w:pPr>
        <w:spacing w:after="120"/>
        <w:jc w:val="both"/>
      </w:pPr>
      <w:r>
        <w:rPr>
          <w:b w:val="0"/>
          <w:i w:val="0"/>
        </w:rPr>
        <w:t>Hong and Nordin (2023) evaluated a Web-based Attendance System with Face Recognition (WAS-FR) and found that conventional, manual attendance recording is forgery-prone, imprecise, and time-consuming because it depends on the honesty of the person recording it. In their survey, 66.7% of respondents found the face-recognition system more effective and convenient than conventional attendance recording, supporting facial recognition as a verification method rather than a simple convenience feature.</w:t>
      </w:r>
    </w:p>
    <w:p>
      <w:pPr>
        <w:spacing w:after="120"/>
        <w:jc w:val="both"/>
      </w:pPr>
      <w:r>
        <w:rPr>
          <w:b w:val="0"/>
          <w:i w:val="0"/>
        </w:rPr>
        <w:t>Senapartha and Nendya (2024) evaluated a mobile multi-factor attendance system combining face authentication, geolocation, and QR code scanning, using cognitive walkthroughs across two design iterations. Even after the recognition model was improved and the false acceptance rate was reduced, usability problems, such as ambiguous feedback and inadequate on-screen instructions, persisted and continued to cause user dissatisfaction. This finding is directly relevant to the present study: a biometric attendance feature can be technically accurate while still failing a usability or task-completion review, which is why this study evaluates ShelfSense's Face ID clock-in as a task reviewers must complete, rather than assuming it is usable because the recognition function works.</w:t>
      </w:r>
    </w:p>
    <w:p>
      <w:pPr>
        <w:keepNext/>
        <w:spacing w:after="80" w:before="200"/>
      </w:pPr>
      <w:r>
        <w:rPr>
          <w:b/>
          <w:i w:val="0"/>
        </w:rPr>
        <w:t>Usability Evaluation of Business and Information Systems</w:t>
      </w:r>
    </w:p>
    <w:p>
      <w:pPr>
        <w:spacing w:after="120"/>
        <w:jc w:val="both"/>
      </w:pPr>
      <w:r>
        <w:rPr>
          <w:b w:val="0"/>
          <w:i w:val="0"/>
        </w:rPr>
        <w:t>Pineda and Mercado (2025) developed a web-based employee information system for a small Philippine trucking firm to replace paper and spreadsheet-based human resource records. Ten company employees evaluated the system using the System Usability Scale, producing a mean score of 76.75, interpreted as good usability. The study is one of the few local examples that evaluates a web-based human resource system with a small panel of targeted evaluators rather than a large general user survey, which parallels the present study's use of 10 IT professor reviewers across ShelfSense's HR, finance, and POS modules.</w:t>
      </w:r>
    </w:p>
    <w:p>
      <w:pPr>
        <w:spacing w:after="120"/>
        <w:jc w:val="both"/>
      </w:pPr>
      <w:r>
        <w:rPr>
          <w:b w:val="0"/>
          <w:i w:val="0"/>
        </w:rPr>
        <w:t>Together with Deluma et al. (2023) and Yulizar and Nabila (2023) above, these studies show that structured usability frameworks are now commonly applied with small, purposively selected panels, generally between 10 and 30 evaluators, rather than large public surveys, which supports this study's design of 10 reviewing IT professors.</w:t>
      </w:r>
    </w:p>
    <w:p>
      <w:pPr>
        <w:keepNext/>
        <w:spacing w:after="80" w:before="200"/>
      </w:pPr>
      <w:r>
        <w:rPr>
          <w:b/>
          <w:i w:val="0"/>
        </w:rPr>
        <w:t>Synthesis</w:t>
      </w:r>
    </w:p>
    <w:p>
      <w:pPr>
        <w:spacing w:after="120"/>
        <w:jc w:val="both"/>
      </w:pPr>
      <w:r>
        <w:rPr>
          <w:b w:val="0"/>
          <w:i w:val="0"/>
        </w:rPr>
        <w:t>The reviewed literature, all published from 2023 to 2025, shows two consistent patterns. First, studies on facial recognition and biometric attendance (Valenzuela et al., 2025; Hong &amp; Nordin, 2023; Senapartha &amp; Nendya, 2024) confirm that manual attendance is vulnerable to misrepresentation and that biometric verification is perceived as more effective, but they also show that recognition accuracy alone does not guarantee a usable feature, especially when interface feedback and instructions are weak. Second, studies that apply the ISO 9241-11 framework to campus, hospitality, and business information systems (Deluma et al., 2023; Yulizar &amp; Nabila, 2023; Pineda &amp; Mercado, 2025) consistently use small, purposively selected evaluator panels and measure effectiveness, efficiency, and satisfaction as distinct, sometimes divergent, outcomes.</w:t>
      </w:r>
    </w:p>
    <w:p>
      <w:pPr>
        <w:spacing w:after="120"/>
        <w:jc w:val="both"/>
      </w:pPr>
      <w:r>
        <w:rPr>
          <w:b w:val="0"/>
          <w:i w:val="0"/>
        </w:rPr>
        <w:t>None of the reviewed studies, however, evaluate a single system that combines facial recognition attendance, multi-role human resource administration, supplier-linked inventory procurement, and point-of-sale transaction processing under one role-based access structure; each reviewed system addresses one function in isolation. This gap is the basis for evaluating ShelfSense as an integrated system, where effectiveness and efficiency are measured per module but role-based access control is evaluated across the system as a whole.</w:t>
      </w:r>
    </w:p>
    <w:p>
      <w:r>
        <w:br w:type="page"/>
      </w:r>
    </w:p>
    <w:p>
      <w:pPr>
        <w:spacing w:after="200"/>
        <w:jc w:val="center"/>
      </w:pPr>
      <w:r>
        <w:rPr>
          <w:b/>
          <w:i w:val="0"/>
        </w:rPr>
        <w:t>Methodology</w:t>
      </w:r>
    </w:p>
    <w:p>
      <w:pPr>
        <w:keepNext/>
        <w:spacing w:after="80" w:before="200"/>
      </w:pPr>
      <w:r>
        <w:rPr>
          <w:b/>
          <w:i w:val="0"/>
        </w:rPr>
        <w:t>Research Design</w:t>
      </w:r>
    </w:p>
    <w:p>
      <w:pPr>
        <w:spacing w:after="120"/>
        <w:jc w:val="both"/>
      </w:pPr>
      <w:r>
        <w:rPr>
          <w:b w:val="0"/>
          <w:i w:val="0"/>
        </w:rPr>
        <w:t>This study uses a descriptive quantitative evaluation design. Each ShelfSense module is reviewed through a structured, task-based evaluation performed by IT professor reviewers, combined with a short Likert-scale questionnaire. Functional correctness, task completion, and role-based access control are treated as effectiveness measures; processing time is treated as the efficiency measure, consistent with the ISO 9241-11 components adopted in the Review of Related Literature (Deluma et al., 2023; Yulizar &amp; Nabila, 2023).</w:t>
      </w:r>
    </w:p>
    <w:p>
      <w:pPr>
        <w:keepNext/>
        <w:spacing w:after="80" w:before="200"/>
      </w:pPr>
      <w:r>
        <w:rPr>
          <w:b/>
          <w:i w:val="0"/>
        </w:rPr>
        <w:t>Software System and Version Evaluated</w:t>
      </w:r>
    </w:p>
    <w:p>
      <w:pPr>
        <w:spacing w:after="120"/>
        <w:jc w:val="both"/>
      </w:pPr>
      <w:r>
        <w:rPr>
          <w:b w:val="0"/>
          <w:i w:val="0"/>
        </w:rPr>
        <w:t>The system evaluated is ShelfSense, the web-based integrated retail management system described in the Introduction, covering facial recognition attendance verification, multi-role human resource administration, supplier-linked inventory procurement, and point-of-sale transaction processing. The evaluation covers version ________________ of the system, deployed on a test environment seeded with representative sample data (employees, products, suppliers, and pending transactions) so that reviewers can perform each task without affecting live records. Face ID is enabled for all roles that use it, including cashiers, as stated in the Scope and Limitations.</w:t>
      </w:r>
    </w:p>
    <w:p>
      <w:pPr>
        <w:keepNext/>
        <w:spacing w:after="80" w:before="200"/>
      </w:pPr>
      <w:r>
        <w:rPr>
          <w:b/>
          <w:i w:val="0"/>
        </w:rPr>
        <w:t>Participants and Selection Method</w:t>
      </w:r>
    </w:p>
    <w:p>
      <w:pPr>
        <w:spacing w:after="120"/>
        <w:jc w:val="both"/>
      </w:pPr>
      <w:r>
        <w:rPr>
          <w:b w:val="0"/>
          <w:i w:val="0"/>
        </w:rPr>
        <w:t>Ten IT professors of the National College of Science and Technology (NCST), Dasmariñas, Cavite, serve as reviewers, selected through purposive sampling. Eligible reviewers are full-time or part-time faculty members of the Computer Studies Department who teach or have taught software engineering, systems analysis and design, human-computer interaction, or quality assurance subjects. Reviewers are identified only by a reviewer code (R1 to R10) in all data-collection instruments and in the results; no name, age, or gender is collected, consistent with the Statement of the Problem and Specific Objectives, which evaluate the system rather than the reviewers.</w:t>
      </w:r>
    </w:p>
    <w:p>
      <w:pPr>
        <w:keepNext/>
        <w:spacing w:after="80" w:before="200"/>
      </w:pPr>
      <w:r>
        <w:rPr>
          <w:b/>
          <w:i w:val="0"/>
        </w:rPr>
        <w:t>Evaluation Tasks</w:t>
      </w:r>
    </w:p>
    <w:p>
      <w:pPr>
        <w:spacing w:after="120"/>
        <w:jc w:val="both"/>
      </w:pPr>
      <w:r>
        <w:rPr>
          <w:b w:val="0"/>
          <w:i w:val="0"/>
        </w:rPr>
        <w:t>Each reviewer is given a test account for one or more user levels and performs that level's main task, listed in Table 2, while an observer records completion and time.</w:t>
      </w:r>
    </w:p>
    <w:p>
      <w:pPr>
        <w:keepNext/>
        <w:spacing w:after="80"/>
      </w:pPr>
      <w:r>
        <w:rPr>
          <w:b/>
          <w:i w:val="0"/>
        </w:rPr>
        <w:t>Table 2. Main Task Evaluated per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Main Task</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Review and decide on a pending product proposal, then confirm the decision is reflected in Product Proposals.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Review and approve a pending job posting, then process payroll for the current period.</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Schedule an interview for an applicant and record the interview outcome.</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Clock in using Face ID, then complete a POS checkout transaction with a barcode-scanned item and a discount applied.</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Accept a contract and submit a weekly trainee report through My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Create a requisition for a low-stock product and submit it for finance approval.</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Review and approve a pending purchase requisition and its corresponding payment.</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Process a purchase-order payment request and update its status.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Submit an invoice for a purchase order and confirm its status updates.</w:t>
            </w:r>
          </w:p>
        </w:tc>
      </w:tr>
    </w:tbl>
    <w:p>
      <w:pPr>
        <w:spacing w:after="80"/>
      </w:pPr>
      <w:r>
        <w:rPr>
          <w:b w:val="0"/>
          <w:i w:val="0"/>
        </w:rPr>
      </w:r>
    </w:p>
    <w:p>
      <w:pPr>
        <w:spacing w:after="120"/>
        <w:jc w:val="both"/>
      </w:pPr>
      <w:r>
        <w:rPr>
          <w:b w:val="0"/>
          <w:i w:val="0"/>
        </w:rPr>
        <w:t>After completing the assigned task, the same reviewer attempts to open at least one module outside their assigned user level to verify that role-based access control correctly denies that access, addressing Statement of the Problem question 4.</w:t>
      </w:r>
    </w:p>
    <w:p>
      <w:pPr>
        <w:keepNext/>
        <w:spacing w:after="80" w:before="200"/>
      </w:pPr>
      <w:r>
        <w:rPr>
          <w:b/>
          <w:i w:val="0"/>
        </w:rPr>
        <w:t>Questionnaire and Rating Scale</w:t>
      </w:r>
    </w:p>
    <w:p>
      <w:pPr>
        <w:spacing w:after="120"/>
        <w:jc w:val="both"/>
      </w:pPr>
      <w:r>
        <w:rPr>
          <w:b w:val="0"/>
          <w:i w:val="0"/>
        </w:rPr>
        <w:t>After each task, the reviewer completes a short questionnaire using a five-point Likert scale, from Strongly Disagree (1) to Strongly Agree (5), with statements grouped under three criteria: Functional Correctness (the module produced the expected result), Task Completion (the main task could be finished without blocking errors), and Access Control (the module was reachable only to the intended user level). Results are interpreted using the mean range in Table 3.</w:t>
      </w:r>
    </w:p>
    <w:p>
      <w:pPr>
        <w:keepNext/>
        <w:spacing w:after="80"/>
      </w:pPr>
      <w:r>
        <w:rPr>
          <w:b/>
          <w:i w:val="0"/>
        </w:rPr>
        <w:t>Table 3. Mean Score Interpretation</w:t>
      </w:r>
    </w:p>
    <w:tbl>
      <w:tblPr>
        <w:tblStyle w:val="TableGrid"/>
        <w:tblW w:type="auto" w:w="0"/>
        <w:jc w:val="center"/>
        <w:tblLayout w:type="fixed"/>
        <w:tblLook w:firstColumn="1" w:firstRow="1" w:lastColumn="0" w:lastRow="0" w:noHBand="0" w:noVBand="1" w:val="04A0"/>
      </w:tblPr>
      <w:tblGrid>
        <w:gridCol w:w="3000"/>
        <w:gridCol w:w="6360"/>
      </w:tblGrid>
      <w:tr>
        <w:trPr>
          <w:tblHeader w:val="true"/>
          <w:cantSplit w:val="true"/>
        </w:trPr>
        <w:tc>
          <w:tcPr>
            <w:tcW w:type="dxa" w:w="3000"/>
            <w:shd w:val="clear" w:color="auto" w:fill="D9E2F3"/>
          </w:tcPr>
          <w:p>
            <w:pPr>
              <w:spacing w:after="40"/>
            </w:pPr>
            <w:r>
              <w:rPr>
                <w:sz w:val="20"/>
              </w:rPr>
            </w:r>
            <w:r>
              <w:rPr>
                <w:b/>
                <w:sz w:val="20"/>
              </w:rPr>
              <w:t>Mean Range</w:t>
            </w:r>
          </w:p>
        </w:tc>
        <w:tc>
          <w:tcPr>
            <w:tcW w:type="dxa" w:w="6360"/>
            <w:shd w:val="clear" w:color="auto" w:fill="D9E2F3"/>
          </w:tcPr>
          <w:p>
            <w:pPr>
              <w:spacing w:after="40"/>
            </w:pPr>
            <w:r>
              <w:rPr>
                <w:sz w:val="20"/>
              </w:rPr>
            </w:r>
            <w:r>
              <w:rPr>
                <w:b/>
                <w:sz w:val="20"/>
              </w:rPr>
              <w:t>Interpretation</w:t>
            </w:r>
          </w:p>
        </w:tc>
      </w:tr>
      <w:tr>
        <w:trPr>
          <w:cantSplit w:val="true"/>
        </w:trPr>
        <w:tc>
          <w:tcPr>
            <w:tcW w:type="dxa" w:w="3000"/>
          </w:tcPr>
          <w:p>
            <w:pPr>
              <w:spacing w:after="40"/>
            </w:pPr>
            <w:r>
              <w:rPr>
                <w:sz w:val="20"/>
              </w:rPr>
            </w:r>
            <w:r>
              <w:rPr>
                <w:b/>
                <w:sz w:val="20"/>
              </w:rPr>
              <w:t>4.21 to 5.00</w:t>
            </w:r>
          </w:p>
        </w:tc>
        <w:tc>
          <w:tcPr>
            <w:tcW w:type="dxa" w:w="6360"/>
          </w:tcPr>
          <w:p>
            <w:pPr>
              <w:spacing w:after="40"/>
            </w:pPr>
            <w:r>
              <w:rPr>
                <w:sz w:val="20"/>
              </w:rPr>
              <w:t>Very High / Strongly Agree</w:t>
            </w:r>
          </w:p>
        </w:tc>
      </w:tr>
      <w:tr>
        <w:trPr>
          <w:cantSplit w:val="true"/>
        </w:trPr>
        <w:tc>
          <w:tcPr>
            <w:tcW w:type="dxa" w:w="3000"/>
          </w:tcPr>
          <w:p>
            <w:pPr>
              <w:spacing w:after="40"/>
            </w:pPr>
            <w:r>
              <w:rPr>
                <w:sz w:val="20"/>
              </w:rPr>
            </w:r>
            <w:r>
              <w:rPr>
                <w:b/>
                <w:sz w:val="20"/>
              </w:rPr>
              <w:t>3.41 to 4.20</w:t>
            </w:r>
          </w:p>
        </w:tc>
        <w:tc>
          <w:tcPr>
            <w:tcW w:type="dxa" w:w="6360"/>
          </w:tcPr>
          <w:p>
            <w:pPr>
              <w:spacing w:after="40"/>
            </w:pPr>
            <w:r>
              <w:rPr>
                <w:sz w:val="20"/>
              </w:rPr>
              <w:t>High / Agree</w:t>
            </w:r>
          </w:p>
        </w:tc>
      </w:tr>
      <w:tr>
        <w:trPr>
          <w:cantSplit w:val="true"/>
        </w:trPr>
        <w:tc>
          <w:tcPr>
            <w:tcW w:type="dxa" w:w="3000"/>
          </w:tcPr>
          <w:p>
            <w:pPr>
              <w:spacing w:after="40"/>
            </w:pPr>
            <w:r>
              <w:rPr>
                <w:sz w:val="20"/>
              </w:rPr>
            </w:r>
            <w:r>
              <w:rPr>
                <w:b/>
                <w:sz w:val="20"/>
              </w:rPr>
              <w:t>2.61 to 3.40</w:t>
            </w:r>
          </w:p>
        </w:tc>
        <w:tc>
          <w:tcPr>
            <w:tcW w:type="dxa" w:w="6360"/>
          </w:tcPr>
          <w:p>
            <w:pPr>
              <w:spacing w:after="40"/>
            </w:pPr>
            <w:r>
              <w:rPr>
                <w:sz w:val="20"/>
              </w:rPr>
              <w:t>Moderate / Neutral</w:t>
            </w:r>
          </w:p>
        </w:tc>
      </w:tr>
      <w:tr>
        <w:trPr>
          <w:cantSplit w:val="true"/>
        </w:trPr>
        <w:tc>
          <w:tcPr>
            <w:tcW w:type="dxa" w:w="3000"/>
          </w:tcPr>
          <w:p>
            <w:pPr>
              <w:spacing w:after="40"/>
            </w:pPr>
            <w:r>
              <w:rPr>
                <w:sz w:val="20"/>
              </w:rPr>
            </w:r>
            <w:r>
              <w:rPr>
                <w:b/>
                <w:sz w:val="20"/>
              </w:rPr>
              <w:t>1.81 to 2.60</w:t>
            </w:r>
          </w:p>
        </w:tc>
        <w:tc>
          <w:tcPr>
            <w:tcW w:type="dxa" w:w="6360"/>
          </w:tcPr>
          <w:p>
            <w:pPr>
              <w:spacing w:after="40"/>
            </w:pPr>
            <w:r>
              <w:rPr>
                <w:sz w:val="20"/>
              </w:rPr>
              <w:t>Low / Disagree</w:t>
            </w:r>
          </w:p>
        </w:tc>
      </w:tr>
      <w:tr>
        <w:trPr>
          <w:cantSplit w:val="true"/>
        </w:trPr>
        <w:tc>
          <w:tcPr>
            <w:tcW w:type="dxa" w:w="3000"/>
          </w:tcPr>
          <w:p>
            <w:pPr>
              <w:spacing w:after="40"/>
            </w:pPr>
            <w:r>
              <w:rPr>
                <w:sz w:val="20"/>
              </w:rPr>
            </w:r>
            <w:r>
              <w:rPr>
                <w:b/>
                <w:sz w:val="20"/>
              </w:rPr>
              <w:t>1.00 to 1.80</w:t>
            </w:r>
          </w:p>
        </w:tc>
        <w:tc>
          <w:tcPr>
            <w:tcW w:type="dxa" w:w="6360"/>
          </w:tcPr>
          <w:p>
            <w:pPr>
              <w:spacing w:after="40"/>
            </w:pPr>
            <w:r>
              <w:rPr>
                <w:sz w:val="20"/>
              </w:rPr>
              <w:t>Very Low / Strongly Disagree</w:t>
            </w:r>
          </w:p>
        </w:tc>
      </w:tr>
    </w:tbl>
    <w:p>
      <w:pPr>
        <w:keepNext/>
        <w:spacing w:after="80" w:before="200"/>
      </w:pPr>
      <w:r>
        <w:rPr>
          <w:b/>
          <w:i w:val="0"/>
        </w:rPr>
        <w:t>Data-Collection Procedure</w:t>
      </w:r>
    </w:p>
    <w:p>
      <w:pPr>
        <w:spacing w:after="120"/>
        <w:jc w:val="both"/>
      </w:pPr>
      <w:r>
        <w:rPr>
          <w:b w:val="0"/>
          <w:i w:val="0"/>
        </w:rPr>
        <w:t>1. Reviewers are briefed on the purpose of the evaluation, the test environment, and the tasks assigned to their user level or levels.</w:t>
      </w:r>
    </w:p>
    <w:p>
      <w:pPr>
        <w:spacing w:after="120"/>
        <w:jc w:val="both"/>
      </w:pPr>
      <w:r>
        <w:rPr>
          <w:b w:val="0"/>
          <w:i w:val="0"/>
        </w:rPr>
        <w:t>2. Each reviewer performs the assigned main task on the test environment while an observer records start time, end time, and whether the task was completed without unresolved errors.</w:t>
      </w:r>
    </w:p>
    <w:p>
      <w:pPr>
        <w:spacing w:after="120"/>
        <w:jc w:val="both"/>
      </w:pPr>
      <w:r>
        <w:rPr>
          <w:b w:val="0"/>
          <w:i w:val="0"/>
        </w:rPr>
        <w:t>3. The reviewer then attempts the out-of-role access check described under Evaluation Tasks.</w:t>
      </w:r>
    </w:p>
    <w:p>
      <w:pPr>
        <w:spacing w:after="120"/>
        <w:jc w:val="both"/>
      </w:pPr>
      <w:r>
        <w:rPr>
          <w:b w:val="0"/>
          <w:i w:val="0"/>
        </w:rPr>
        <w:t>4. The reviewer completes the Likert-scale questionnaire for the module or modules just tested and may note any defect or improvement suggestion in a free-text field.</w:t>
      </w:r>
    </w:p>
    <w:p>
      <w:pPr>
        <w:spacing w:after="120"/>
        <w:jc w:val="both"/>
      </w:pPr>
      <w:r>
        <w:rPr>
          <w:b w:val="0"/>
          <w:i w:val="0"/>
        </w:rPr>
        <w:t>5. Sessions are scheduled individually or in small groups across the ten reviewers, on dates to be confirmed with the Computer Studies Department (________________).</w:t>
      </w:r>
    </w:p>
    <w:p>
      <w:pPr>
        <w:keepNext/>
        <w:spacing w:after="80" w:before="200"/>
      </w:pPr>
      <w:r>
        <w:rPr>
          <w:b/>
          <w:i w:val="0"/>
        </w:rPr>
        <w:t>Ethical Safeguards</w:t>
      </w:r>
    </w:p>
    <w:p>
      <w:pPr>
        <w:spacing w:after="120"/>
        <w:jc w:val="both"/>
      </w:pPr>
      <w:r>
        <w:rPr>
          <w:b w:val="0"/>
          <w:i w:val="0"/>
        </w:rPr>
        <w:t>Participation is voluntary. Each reviewer signs an informed consent form before the session that explains the purpose of the study, the tasks involved, and their right to withdraw at any point without penalty. No personal identifiers, such as name, age, or gender, are collected; reviewers are referred to only by reviewer code in the raw data, the analysis, and the results. Test accounts and sample data used during evaluation are separate from any live ShelfSense data. Collected forms and logs are used only for this study and are accessible only to the researchers and their adviser.</w:t>
      </w:r>
    </w:p>
    <w:p>
      <w:pPr>
        <w:keepNext/>
        <w:spacing w:after="80" w:before="200"/>
      </w:pPr>
      <w:r>
        <w:rPr>
          <w:b/>
          <w:i w:val="0"/>
        </w:rPr>
        <w:t>Data-Analysis Method</w:t>
      </w:r>
    </w:p>
    <w:p>
      <w:pPr>
        <w:spacing w:after="120"/>
        <w:jc w:val="both"/>
      </w:pPr>
      <w:r>
        <w:rPr>
          <w:b w:val="0"/>
          <w:i w:val="0"/>
        </w:rPr>
        <w:t>Task completion rate is computed per module as the number of reviewers who completed the main task without unresolved errors, divided by the total number of reviewers assigned to that module, multiplied by 100. Processing time is reported as the mean and range, in seconds or minutes, of the recorded start-to-end time per task. Likert-scale responses are tallied as frequencies and percentages per rating (5 to 1) for each statement, then converted to a mean score and interpreted using Table 3. Statement means are grouped and averaged under their criterion (Functional Correctness, Task Completion, Access Control) to produce a criterion-level mean, adjectival interpretation, and rank, in order to identify the strongest and weakest areas across modules. Results for access-control checks are reported as a simple count and percentage of modules that correctly denied out-of-role access.</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