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99B68" w14:textId="77777777" w:rsidR="00E40C7C" w:rsidRPr="00E40C7C" w:rsidRDefault="00E40C7C" w:rsidP="00E40C7C">
      <w:pPr>
        <w:rPr>
          <w:b/>
          <w:bCs/>
          <w:sz w:val="32"/>
          <w:szCs w:val="32"/>
        </w:rPr>
      </w:pPr>
      <w:r w:rsidRPr="00E40C7C">
        <w:rPr>
          <w:b/>
          <w:bCs/>
          <w:sz w:val="32"/>
          <w:szCs w:val="32"/>
        </w:rPr>
        <w:t>School Funding &amp; Student Outcomes: An Analysis of Spending, Poverty, and Academic Proficiency</w:t>
      </w:r>
    </w:p>
    <w:p w14:paraId="7504360D" w14:textId="77777777" w:rsidR="004C034A" w:rsidRDefault="004C034A" w:rsidP="00E40C7C">
      <w:pPr>
        <w:rPr>
          <w:b/>
          <w:bCs/>
          <w:sz w:val="28"/>
          <w:szCs w:val="28"/>
        </w:rPr>
      </w:pPr>
    </w:p>
    <w:p w14:paraId="67ABCAE8" w14:textId="76389DA2" w:rsidR="00E40C7C" w:rsidRPr="00E40C7C" w:rsidRDefault="00E40C7C" w:rsidP="00E40C7C">
      <w:pPr>
        <w:rPr>
          <w:b/>
          <w:bCs/>
          <w:sz w:val="28"/>
          <w:szCs w:val="28"/>
        </w:rPr>
      </w:pPr>
      <w:r w:rsidRPr="00E40C7C">
        <w:rPr>
          <w:b/>
          <w:bCs/>
          <w:sz w:val="28"/>
          <w:szCs w:val="28"/>
        </w:rPr>
        <w:t>Project Overview</w:t>
      </w:r>
    </w:p>
    <w:p w14:paraId="4494164D" w14:textId="2C734F11" w:rsidR="00E40C7C" w:rsidRPr="00E40C7C" w:rsidRDefault="00E40C7C" w:rsidP="00E40C7C">
      <w:r w:rsidRPr="00E40C7C">
        <w:t>This project investigates a question that's frequently debated but rarely tested with real data: does school spending actually improve student outcomes, or does the apparent link between spending and test scores simply reflect the underlying wealth of a district? Using three federal datasets covering nearly every public school district in the United States, this analysis combines district-level financial records, poverty estimates, and academic proficiency data to test whether per-pupil spending predicts proficiency after controlling for poverty — and to identify natural groupings of districts that share similar financial and academic profiles.</w:t>
      </w:r>
    </w:p>
    <w:p w14:paraId="5DAAFD86" w14:textId="77777777" w:rsidR="004C034A" w:rsidRDefault="004C034A" w:rsidP="00E40C7C">
      <w:pPr>
        <w:rPr>
          <w:b/>
          <w:bCs/>
          <w:sz w:val="28"/>
          <w:szCs w:val="28"/>
        </w:rPr>
      </w:pPr>
    </w:p>
    <w:p w14:paraId="002850A8" w14:textId="7A2AF94D" w:rsidR="00E40C7C" w:rsidRPr="00E40C7C" w:rsidRDefault="00E40C7C" w:rsidP="00E40C7C">
      <w:pPr>
        <w:rPr>
          <w:b/>
          <w:bCs/>
          <w:sz w:val="28"/>
          <w:szCs w:val="28"/>
        </w:rPr>
      </w:pPr>
      <w:r w:rsidRPr="00E40C7C">
        <w:rPr>
          <w:b/>
          <w:bCs/>
          <w:sz w:val="28"/>
          <w:szCs w:val="28"/>
        </w:rPr>
        <w:t>Data Sources</w:t>
      </w:r>
    </w:p>
    <w:p w14:paraId="25AAF7DA" w14:textId="77777777" w:rsidR="00E40C7C" w:rsidRPr="00E40C7C" w:rsidRDefault="00E40C7C" w:rsidP="00E40C7C">
      <w:r w:rsidRPr="00E40C7C">
        <w:t>Three separate government datasets were combined for this analysis:</w:t>
      </w:r>
    </w:p>
    <w:p w14:paraId="2AF3303A" w14:textId="77777777" w:rsidR="00E40C7C" w:rsidRPr="00E40C7C" w:rsidRDefault="00E40C7C" w:rsidP="00E40C7C">
      <w:pPr>
        <w:numPr>
          <w:ilvl w:val="0"/>
          <w:numId w:val="1"/>
        </w:numPr>
      </w:pPr>
      <w:r w:rsidRPr="00E40C7C">
        <w:rPr>
          <w:b/>
          <w:bCs/>
        </w:rPr>
        <w:t>EDFacts</w:t>
      </w:r>
      <w:r w:rsidRPr="00E40C7C">
        <w:t xml:space="preserve"> (U.S. Department of Education) — district-level math and reading proficiency rates</w:t>
      </w:r>
    </w:p>
    <w:p w14:paraId="4E8DF49D" w14:textId="77777777" w:rsidR="00E40C7C" w:rsidRPr="00E40C7C" w:rsidRDefault="00E40C7C" w:rsidP="00E40C7C">
      <w:pPr>
        <w:numPr>
          <w:ilvl w:val="0"/>
          <w:numId w:val="1"/>
        </w:numPr>
      </w:pPr>
      <w:r w:rsidRPr="00E40C7C">
        <w:rPr>
          <w:b/>
          <w:bCs/>
        </w:rPr>
        <w:t>F-33, School District Finance Survey</w:t>
      </w:r>
      <w:r w:rsidRPr="00E40C7C">
        <w:t xml:space="preserve"> (U.S. Census Bureau, collected for NCES) — district-level revenue and expenditure data</w:t>
      </w:r>
    </w:p>
    <w:p w14:paraId="36EE192E" w14:textId="77777777" w:rsidR="00E40C7C" w:rsidRPr="00E40C7C" w:rsidRDefault="00E40C7C" w:rsidP="00E40C7C">
      <w:pPr>
        <w:numPr>
          <w:ilvl w:val="0"/>
          <w:numId w:val="1"/>
        </w:numPr>
      </w:pPr>
      <w:r w:rsidRPr="00E40C7C">
        <w:rPr>
          <w:b/>
          <w:bCs/>
        </w:rPr>
        <w:t>SAIPE, Small Area Income and Poverty Estimates</w:t>
      </w:r>
      <w:r w:rsidRPr="00E40C7C">
        <w:t xml:space="preserve"> (U.S. Census Bureau) — district-level child poverty and income estimates</w:t>
      </w:r>
    </w:p>
    <w:p w14:paraId="6748D3FF" w14:textId="77777777" w:rsidR="00E40C7C" w:rsidRPr="00E40C7C" w:rsidRDefault="00E40C7C" w:rsidP="00E40C7C">
      <w:r w:rsidRPr="00E40C7C">
        <w:t>None of these datasets shared a common file structure or, in one case, even a common district ID format — a significant portion of the project's actual effort went into cleaning, standardizing, and merging these three sources into one trustworthy analysis table.</w:t>
      </w:r>
    </w:p>
    <w:p w14:paraId="6903E67B" w14:textId="77777777" w:rsidR="004C034A" w:rsidRDefault="004C034A" w:rsidP="004C034A">
      <w:pPr>
        <w:rPr>
          <w:b/>
          <w:bCs/>
          <w:sz w:val="28"/>
          <w:szCs w:val="28"/>
        </w:rPr>
      </w:pPr>
    </w:p>
    <w:p w14:paraId="299981AC" w14:textId="03CCF5F2" w:rsidR="004C034A" w:rsidRPr="004C034A" w:rsidRDefault="00E40C7C" w:rsidP="004C034A">
      <w:pPr>
        <w:rPr>
          <w:b/>
          <w:bCs/>
          <w:sz w:val="28"/>
          <w:szCs w:val="28"/>
        </w:rPr>
      </w:pPr>
      <w:r w:rsidRPr="00E40C7C">
        <w:rPr>
          <w:b/>
          <w:bCs/>
          <w:sz w:val="28"/>
          <w:szCs w:val="28"/>
        </w:rPr>
        <w:t>Data Cleaning Decisions</w:t>
      </w:r>
    </w:p>
    <w:p w14:paraId="01106DE4" w14:textId="77777777" w:rsidR="004C034A" w:rsidRPr="004C034A" w:rsidRDefault="004C034A" w:rsidP="004C034A">
      <w:r w:rsidRPr="004C034A">
        <w:rPr>
          <w:b/>
          <w:bCs/>
        </w:rPr>
        <w:t>EDFacts proficiency suppression handling</w:t>
      </w:r>
      <w:r w:rsidRPr="004C034A">
        <w:br/>
        <w:t>The proficiency columns (PCTPROF_MTH, PCTPROF_RLA) were stored as text rather than numbers. Roughly 32% of rows used federally mandated privacy-suppression codes instead of exact percentages, to protect student privacy in small tested groups.</w:t>
      </w:r>
    </w:p>
    <w:p w14:paraId="6E548576" w14:textId="77777777" w:rsidR="004C034A" w:rsidRPr="004C034A" w:rsidRDefault="004C034A" w:rsidP="004C034A">
      <w:pPr>
        <w:numPr>
          <w:ilvl w:val="0"/>
          <w:numId w:val="6"/>
        </w:numPr>
      </w:pPr>
      <w:r w:rsidRPr="004C034A">
        <w:t>Ranges (e.g. 35-39) → converted to midpoint (37)</w:t>
      </w:r>
    </w:p>
    <w:p w14:paraId="3B910491" w14:textId="77777777" w:rsidR="004C034A" w:rsidRPr="004C034A" w:rsidRDefault="004C034A" w:rsidP="004C034A">
      <w:pPr>
        <w:numPr>
          <w:ilvl w:val="0"/>
          <w:numId w:val="6"/>
        </w:numPr>
      </w:pPr>
      <w:r w:rsidRPr="004C034A">
        <w:t>Bounded codes (LE10, GE95, LT50) → converted to midpoint (e.g. LE10 → 5, GE95 → 97.5)</w:t>
      </w:r>
    </w:p>
    <w:p w14:paraId="45690811" w14:textId="77777777" w:rsidR="004C034A" w:rsidRPr="004C034A" w:rsidRDefault="004C034A" w:rsidP="004C034A">
      <w:pPr>
        <w:numPr>
          <w:ilvl w:val="0"/>
          <w:numId w:val="6"/>
        </w:numPr>
      </w:pPr>
      <w:r w:rsidRPr="004C034A">
        <w:t>Fully suppressed (PS) → converted to missing, since no numeric estimate could be reasonably inferred</w:t>
      </w:r>
    </w:p>
    <w:p w14:paraId="69674266" w14:textId="77777777" w:rsidR="004C034A" w:rsidRPr="004C034A" w:rsidRDefault="004C034A" w:rsidP="004C034A">
      <w:pPr>
        <w:numPr>
          <w:ilvl w:val="0"/>
          <w:numId w:val="6"/>
        </w:numPr>
      </w:pPr>
      <w:r w:rsidRPr="004C034A">
        <w:t>Dropping the affected 32% was avoided, since suppression disproportionately affects small/rural districts and would have biased the dataset toward larger ones</w:t>
      </w:r>
    </w:p>
    <w:p w14:paraId="396B352C" w14:textId="77777777" w:rsidR="004C034A" w:rsidRPr="004C034A" w:rsidRDefault="004C034A" w:rsidP="004C034A">
      <w:pPr>
        <w:numPr>
          <w:ilvl w:val="0"/>
          <w:numId w:val="6"/>
        </w:numPr>
      </w:pPr>
      <w:r w:rsidRPr="004C034A">
        <w:lastRenderedPageBreak/>
        <w:t>Verification confirmed the resulting missing-value count exactly matched the original PS count, for both subjects — no data silently lost or misclassified</w:t>
      </w:r>
    </w:p>
    <w:p w14:paraId="60E3A4F6" w14:textId="77777777" w:rsidR="004C034A" w:rsidRPr="004C034A" w:rsidRDefault="004C034A" w:rsidP="004C034A">
      <w:r w:rsidRPr="004C034A">
        <w:rPr>
          <w:b/>
          <w:bCs/>
        </w:rPr>
        <w:t>Finance (F-33) missing-data handling</w:t>
      </w:r>
      <w:r w:rsidRPr="004C034A">
        <w:br/>
        <w:t>TOTALEXP/TOTALREV contained placeholder codes rather than real dollar values, per NCES's Common Core of Data documentation:</w:t>
      </w:r>
    </w:p>
    <w:p w14:paraId="183C5241" w14:textId="77777777" w:rsidR="004C034A" w:rsidRPr="004C034A" w:rsidRDefault="004C034A" w:rsidP="004C034A">
      <w:pPr>
        <w:numPr>
          <w:ilvl w:val="0"/>
          <w:numId w:val="7"/>
        </w:numPr>
      </w:pPr>
      <w:r w:rsidRPr="004C034A">
        <w:t>-1 = data expected but not reported</w:t>
      </w:r>
    </w:p>
    <w:p w14:paraId="5D2C35C5" w14:textId="77777777" w:rsidR="004C034A" w:rsidRPr="004C034A" w:rsidRDefault="004C034A" w:rsidP="004C034A">
      <w:pPr>
        <w:numPr>
          <w:ilvl w:val="0"/>
          <w:numId w:val="7"/>
        </w:numPr>
      </w:pPr>
      <w:r w:rsidRPr="004C034A">
        <w:t>-2 = not applicable</w:t>
      </w:r>
    </w:p>
    <w:p w14:paraId="04179C37" w14:textId="77777777" w:rsidR="004C034A" w:rsidRPr="004C034A" w:rsidRDefault="004C034A" w:rsidP="004C034A">
      <w:pPr>
        <w:numPr>
          <w:ilvl w:val="0"/>
          <w:numId w:val="7"/>
        </w:numPr>
      </w:pPr>
      <w:r w:rsidRPr="004C034A">
        <w:t>Rows with non-positive MEMBERSCH, TOTALEXP, or TOTALREV were excluded, as they represented non-school agencies or districts with unreported finances — unusable for a spending regression</w:t>
      </w:r>
    </w:p>
    <w:p w14:paraId="18D08EB3" w14:textId="77777777" w:rsidR="004C034A" w:rsidRPr="004C034A" w:rsidRDefault="004C034A" w:rsidP="004C034A">
      <w:r w:rsidRPr="004C034A">
        <w:rPr>
          <w:b/>
          <w:bCs/>
        </w:rPr>
        <w:t>Finance (F-33) outlier handling</w:t>
      </w:r>
      <w:r w:rsidRPr="004C034A">
        <w:br/>
        <w:t>Even after removing missing-data codes and non-standard agency types, extreme outliers remained (max per-pupil spending over $600,000). These split into two groups:</w:t>
      </w:r>
    </w:p>
    <w:p w14:paraId="13FF1CA8" w14:textId="77777777" w:rsidR="004C034A" w:rsidRPr="004C034A" w:rsidRDefault="004C034A" w:rsidP="004C034A">
      <w:pPr>
        <w:numPr>
          <w:ilvl w:val="0"/>
          <w:numId w:val="8"/>
        </w:numPr>
      </w:pPr>
      <w:r w:rsidRPr="004C034A">
        <w:t>Specialized institutions not caught by earlier filters (charter schools, special-education cooperatives, schools for the blind/deaf)</w:t>
      </w:r>
    </w:p>
    <w:p w14:paraId="3CFB1247" w14:textId="77777777" w:rsidR="004C034A" w:rsidRPr="004C034A" w:rsidRDefault="004C034A" w:rsidP="004C034A">
      <w:pPr>
        <w:numPr>
          <w:ilvl w:val="0"/>
          <w:numId w:val="8"/>
        </w:numPr>
      </w:pPr>
      <w:r w:rsidRPr="004C034A">
        <w:t>Genuinely tiny real districts, where low enrollment makes per-pupil spending naturally volatile</w:t>
      </w:r>
    </w:p>
    <w:p w14:paraId="06F8FEF2" w14:textId="77777777" w:rsidR="004C034A" w:rsidRPr="004C034A" w:rsidRDefault="004C034A" w:rsidP="004C034A">
      <w:r w:rsidRPr="004C034A">
        <w:t>Since these two groups couldn't be reliably separated by category, a minimum enrollment threshold of 50 students was applied, removing about 2.6% of the dataset — a deliberate precision-over-completeness trade-off.</w:t>
      </w:r>
    </w:p>
    <w:p w14:paraId="19593287" w14:textId="77777777" w:rsidR="004C034A" w:rsidRPr="004C034A" w:rsidRDefault="004C034A" w:rsidP="004C034A">
      <w:r w:rsidRPr="004C034A">
        <w:rPr>
          <w:b/>
          <w:bCs/>
        </w:rPr>
        <w:t>SAIPE poverty rate construction</w:t>
      </w:r>
    </w:p>
    <w:p w14:paraId="0DF429C1" w14:textId="77777777" w:rsidR="004C034A" w:rsidRPr="004C034A" w:rsidRDefault="004C034A" w:rsidP="004C034A">
      <w:pPr>
        <w:numPr>
          <w:ilvl w:val="0"/>
          <w:numId w:val="9"/>
        </w:numPr>
      </w:pPr>
      <w:r w:rsidRPr="004C034A">
        <w:t>SAIPE had no ready-made LEAID; it was reconstructed by zero-padding and concatenating State FIPS Code and District ID, then verified against a known district present in all three sources</w:t>
      </w:r>
    </w:p>
    <w:p w14:paraId="6AF29A3E" w14:textId="77777777" w:rsidR="004C034A" w:rsidRPr="004C034A" w:rsidRDefault="004C034A" w:rsidP="004C034A">
      <w:pPr>
        <w:numPr>
          <w:ilvl w:val="0"/>
          <w:numId w:val="9"/>
        </w:numPr>
      </w:pPr>
      <w:r w:rsidRPr="004C034A">
        <w:t>poverty_rate was calculated as (poverty count ÷ school-age population) × 100</w:t>
      </w:r>
    </w:p>
    <w:p w14:paraId="78142126" w14:textId="77777777" w:rsidR="004C034A" w:rsidRPr="004C034A" w:rsidRDefault="004C034A" w:rsidP="004C034A">
      <w:pPr>
        <w:numPr>
          <w:ilvl w:val="0"/>
          <w:numId w:val="9"/>
        </w:numPr>
      </w:pPr>
      <w:r w:rsidRPr="004C034A">
        <w:t>Districts with zero school-age population (non-operating administrative units) were dropped</w:t>
      </w:r>
    </w:p>
    <w:p w14:paraId="3748ACE9" w14:textId="77777777" w:rsidR="004C034A" w:rsidRPr="004C034A" w:rsidRDefault="004C034A" w:rsidP="004C034A">
      <w:pPr>
        <w:numPr>
          <w:ilvl w:val="0"/>
          <w:numId w:val="9"/>
        </w:numPr>
      </w:pPr>
      <w:r w:rsidRPr="004C034A">
        <w:t>Districts with fewer than 100 school-age children were excluded, since very small populations produced statistically unstable, misleadingly extreme rates</w:t>
      </w:r>
    </w:p>
    <w:p w14:paraId="7A1E3517" w14:textId="77777777" w:rsidR="004C034A" w:rsidRPr="004C034A" w:rsidRDefault="004C034A" w:rsidP="004C034A">
      <w:r w:rsidRPr="004C034A">
        <w:rPr>
          <w:b/>
          <w:bCs/>
        </w:rPr>
        <w:t>Final merge</w:t>
      </w:r>
    </w:p>
    <w:p w14:paraId="73E7BA60" w14:textId="77777777" w:rsidR="004C034A" w:rsidRPr="004C034A" w:rsidRDefault="004C034A" w:rsidP="004C034A">
      <w:pPr>
        <w:numPr>
          <w:ilvl w:val="0"/>
          <w:numId w:val="10"/>
        </w:numPr>
      </w:pPr>
      <w:r w:rsidRPr="004C034A">
        <w:t>EDFacts, finance, and SAIPE were merged sequentially on LEAID via inner joins</w:t>
      </w:r>
    </w:p>
    <w:p w14:paraId="1BE5DB01" w14:textId="77777777" w:rsidR="004C034A" w:rsidRPr="004C034A" w:rsidRDefault="004C034A" w:rsidP="004C034A">
      <w:pPr>
        <w:numPr>
          <w:ilvl w:val="0"/>
          <w:numId w:val="10"/>
        </w:numPr>
      </w:pPr>
      <w:r w:rsidRPr="004C034A">
        <w:t>Duplicate identifier columns introduced by the merge were consolidated after confirming discrepancies were formatting artifacts (e.g. zero-padded vs. unpadded), not genuine conflicts</w:t>
      </w:r>
    </w:p>
    <w:p w14:paraId="5C0F7F04" w14:textId="77777777" w:rsidR="004C034A" w:rsidRPr="004C034A" w:rsidRDefault="004C034A" w:rsidP="004C034A">
      <w:pPr>
        <w:numPr>
          <w:ilvl w:val="0"/>
          <w:numId w:val="10"/>
        </w:numPr>
      </w:pPr>
      <w:r w:rsidRPr="004C034A">
        <w:t xml:space="preserve">Final merged dataset: </w:t>
      </w:r>
      <w:r w:rsidRPr="004C034A">
        <w:rPr>
          <w:b/>
          <w:bCs/>
        </w:rPr>
        <w:t>12,158 school districts, zero missing values</w:t>
      </w:r>
      <w:r w:rsidRPr="004C034A">
        <w:t xml:space="preserve"> across all analysis columns</w:t>
      </w:r>
    </w:p>
    <w:p w14:paraId="5988AB7F" w14:textId="77777777" w:rsidR="004C034A" w:rsidRPr="004C034A" w:rsidRDefault="004C034A" w:rsidP="004C034A">
      <w:r w:rsidRPr="004C034A">
        <w:rPr>
          <w:b/>
          <w:bCs/>
        </w:rPr>
        <w:t>Two parallel datasets maintained going forward</w:t>
      </w:r>
    </w:p>
    <w:p w14:paraId="6B280851" w14:textId="77777777" w:rsidR="004C034A" w:rsidRPr="004C034A" w:rsidRDefault="004C034A" w:rsidP="004C034A">
      <w:pPr>
        <w:numPr>
          <w:ilvl w:val="0"/>
          <w:numId w:val="11"/>
        </w:numPr>
      </w:pPr>
      <w:r w:rsidRPr="004C034A">
        <w:rPr>
          <w:b/>
          <w:bCs/>
        </w:rPr>
        <w:lastRenderedPageBreak/>
        <w:t>Full, unfiltered dataset</w:t>
      </w:r>
      <w:r w:rsidRPr="004C034A">
        <w:t xml:space="preserve"> (including small-enrollment and uncapped-spending districts) — retained for exploratory visualization and clustering, since a small district with disproportionately high per-pupil spending is a genuine, potentially meaningful pattern, not noise to discard</w:t>
      </w:r>
    </w:p>
    <w:p w14:paraId="79D3FBD1" w14:textId="77777777" w:rsidR="004C034A" w:rsidRPr="004C034A" w:rsidRDefault="004C034A" w:rsidP="004C034A">
      <w:pPr>
        <w:numPr>
          <w:ilvl w:val="0"/>
          <w:numId w:val="11"/>
        </w:numPr>
      </w:pPr>
      <w:r w:rsidRPr="004C034A">
        <w:rPr>
          <w:b/>
          <w:bCs/>
        </w:rPr>
        <w:t>Regression-specific dataset</w:t>
      </w:r>
      <w:r w:rsidRPr="004C034A">
        <w:t xml:space="preserve"> — applied two additional stability filters: enrollment ≥ 100 students (fixed costs in tiny districts distort per-pupil figures), and school-age population ≥ 100 (SAIPE estimates for very small populations carry wide margins of error)</w:t>
      </w:r>
    </w:p>
    <w:p w14:paraId="54706C72" w14:textId="77777777" w:rsidR="004C034A" w:rsidRPr="004C034A" w:rsidRDefault="004C034A" w:rsidP="004C034A">
      <w:pPr>
        <w:numPr>
          <w:ilvl w:val="0"/>
          <w:numId w:val="11"/>
        </w:numPr>
      </w:pPr>
      <w:r w:rsidRPr="004C034A">
        <w:t>Per-pupil spending in the regression dataset was further capped (winsorized) at the 99th percentile, preserving all districts while limiting the influence of extreme values</w:t>
      </w:r>
    </w:p>
    <w:p w14:paraId="77FD446D" w14:textId="77777777" w:rsidR="004C034A" w:rsidRPr="004C034A" w:rsidRDefault="004C034A" w:rsidP="004C034A">
      <w:pPr>
        <w:numPr>
          <w:ilvl w:val="0"/>
          <w:numId w:val="11"/>
        </w:numPr>
      </w:pPr>
      <w:r w:rsidRPr="004C034A">
        <w:t>One known outlier — Orleans Parish, LA — was deliberately retained despite high spending, as it plausibly reflects real post-Katrina rebuilding costs rather than a data artifact</w:t>
      </w:r>
    </w:p>
    <w:p w14:paraId="0B338B86" w14:textId="77777777" w:rsidR="004C034A" w:rsidRDefault="004C034A" w:rsidP="00E40C7C">
      <w:pPr>
        <w:rPr>
          <w:b/>
          <w:bCs/>
          <w:sz w:val="28"/>
          <w:szCs w:val="28"/>
        </w:rPr>
      </w:pPr>
    </w:p>
    <w:p w14:paraId="4EEF6DCB" w14:textId="55ADE4E8" w:rsidR="00E40C7C" w:rsidRPr="00E40C7C" w:rsidRDefault="00E40C7C" w:rsidP="00E40C7C">
      <w:pPr>
        <w:rPr>
          <w:b/>
          <w:bCs/>
          <w:sz w:val="28"/>
          <w:szCs w:val="28"/>
        </w:rPr>
      </w:pPr>
      <w:r w:rsidRPr="00E40C7C">
        <w:rPr>
          <w:b/>
          <w:bCs/>
          <w:sz w:val="28"/>
          <w:szCs w:val="28"/>
        </w:rPr>
        <w:t>Regression Analysis</w:t>
      </w:r>
    </w:p>
    <w:p w14:paraId="5253E3AE" w14:textId="77777777" w:rsidR="00E40C7C" w:rsidRPr="00E40C7C" w:rsidRDefault="00E40C7C" w:rsidP="00E40C7C">
      <w:r w:rsidRPr="00E40C7C">
        <w:t>Two baseline OLS models tested whether per-pupil spending predicts proficiency after controlling for poverty — Model A (math) and Model B (reading):</w:t>
      </w:r>
    </w:p>
    <w:p w14:paraId="7752695E" w14:textId="77777777" w:rsidR="00E40C7C" w:rsidRPr="00E40C7C" w:rsidRDefault="00E40C7C" w:rsidP="00E40C7C">
      <w:r w:rsidRPr="00E40C7C">
        <w:t>Proficiency ~ per_pupil_exp_capped + poverty_rate</w:t>
      </w:r>
    </w:p>
    <w:p w14:paraId="2FA12F37" w14:textId="77777777" w:rsidR="00E40C7C" w:rsidRPr="00E40C7C" w:rsidRDefault="00E40C7C" w:rsidP="00E40C7C">
      <w:r w:rsidRPr="00E40C7C">
        <w:rPr>
          <w:b/>
          <w:bCs/>
        </w:rPr>
        <w:t>Results:</w:t>
      </w:r>
      <w:r w:rsidRPr="00E40C7C">
        <w:t xml:space="preserve"> Poverty rate was a highly significant predictor in both models (p &lt; 0.001) — each 1-point increase in poverty was associated with roughly a 0.94-point decrease in math proficiency and a 0.99-point decrease in reading proficiency. Per-pupil spending showed </w:t>
      </w:r>
      <w:r w:rsidRPr="00E40C7C">
        <w:rPr>
          <w:b/>
          <w:bCs/>
        </w:rPr>
        <w:t>no significant relationship with math proficiency</w:t>
      </w:r>
      <w:r w:rsidRPr="00E40C7C">
        <w:t xml:space="preserve"> (p = 0.255), but a small, statistically significant positive relationship with reading proficiency (p = 0.001), though minimal in practical magnitude. This divergence suggests spending's influence may be subject-dependent, while poverty remained the dominant, consistent driver across both subjects.</w:t>
      </w:r>
    </w:p>
    <w:p w14:paraId="559D1264" w14:textId="77777777" w:rsidR="00E40C7C" w:rsidRPr="00E40C7C" w:rsidRDefault="00E40C7C" w:rsidP="00E40C7C">
      <w:r w:rsidRPr="00E40C7C">
        <w:rPr>
          <w:b/>
          <w:bCs/>
        </w:rPr>
        <w:t>Diagnostics:</w:t>
      </w:r>
      <w:r w:rsidRPr="00E40C7C">
        <w:t xml:space="preserve"> VIF scores for both predictors were close to 1 (no multicollinearity). Residual plots showed a reasonably even scatter around zero (supporting homoscedasticity). The Jarque-Bera test indicated mild non-normality in residuals (Prob(JB) = 5.26e-28 for Model A) — not disqualifying given the large sample size (n≈12,000), where the Central Limit Theorem makes this a minor concern rather than one invalidating the model.</w:t>
      </w:r>
    </w:p>
    <w:p w14:paraId="05D77620" w14:textId="77777777" w:rsidR="00E40C7C" w:rsidRPr="00E40C7C" w:rsidRDefault="00E40C7C" w:rsidP="00E40C7C">
      <w:r w:rsidRPr="00E40C7C">
        <w:rPr>
          <w:b/>
          <w:bCs/>
        </w:rPr>
        <w:t>Interaction effect.</w:t>
      </w:r>
      <w:r w:rsidRPr="00E40C7C">
        <w:t xml:space="preserve"> A follow-up model tested whether spending's effect depends on poverty level, using a centered interaction term (spending × poverty, centered to resolve a high condition number caused by raw multiplication). The interaction term was significant and negative in both models (p &lt; 0.001): </w:t>
      </w:r>
      <w:r w:rsidRPr="00E40C7C">
        <w:rPr>
          <w:b/>
          <w:bCs/>
        </w:rPr>
        <w:t>spending shows a positive relationship with proficiency only in relatively low-poverty districts (below roughly 13% poverty rate); above that threshold, the relationship weakens and turns negative.</w:t>
      </w:r>
      <w:r w:rsidRPr="00E40C7C">
        <w:t xml:space="preserve"> This is a sharper, more specific finding than the flat baseline coefficient.</w:t>
      </w:r>
    </w:p>
    <w:p w14:paraId="696F5ADD" w14:textId="537C5517" w:rsidR="004C034A" w:rsidRPr="004C034A" w:rsidRDefault="00E40C7C" w:rsidP="00E40C7C">
      <w:r w:rsidRPr="00E40C7C">
        <w:rPr>
          <w:b/>
          <w:bCs/>
        </w:rPr>
        <w:t>Per-cluster regression.</w:t>
      </w:r>
      <w:r w:rsidRPr="00E40C7C">
        <w:t xml:space="preserve"> Running the baseline model separately within each of the three clusters (see below) showed spending's negative association growing progressively larger from Cluster 0 (low-poverty</w:t>
      </w:r>
      <w:r w:rsidR="006F5B49">
        <w:t>/high proficiency</w:t>
      </w:r>
      <w:r w:rsidRPr="00E40C7C">
        <w:t>, -0.0001) → Cluster 1 (high-poverty</w:t>
      </w:r>
      <w:r w:rsidR="006F5B49">
        <w:t>/low</w:t>
      </w:r>
      <w:r w:rsidR="006F5B49">
        <w:t xml:space="preserve"> proficiency</w:t>
      </w:r>
      <w:r w:rsidRPr="00E40C7C">
        <w:t>, -0.00038) → Cluster 2 (mega-districts, -0.0014), consistent with the interaction finding. R² was lower within each cluster than in the whole-sample model, as expected when grouping similar districts together reduces the variation left to explain. Cluster 2's estimates (only 34 districts) should be read as suggestive rather than confident, given the small sample.</w:t>
      </w:r>
    </w:p>
    <w:p w14:paraId="3B9AFF9A" w14:textId="654A2B63" w:rsidR="00E40C7C" w:rsidRPr="00E40C7C" w:rsidRDefault="00E40C7C" w:rsidP="00E40C7C">
      <w:pPr>
        <w:rPr>
          <w:b/>
          <w:bCs/>
          <w:sz w:val="28"/>
          <w:szCs w:val="28"/>
        </w:rPr>
      </w:pPr>
      <w:r w:rsidRPr="00E40C7C">
        <w:rPr>
          <w:b/>
          <w:bCs/>
          <w:sz w:val="28"/>
          <w:szCs w:val="28"/>
        </w:rPr>
        <w:lastRenderedPageBreak/>
        <w:t>Clustering Analysis</w:t>
      </w:r>
    </w:p>
    <w:p w14:paraId="4FB8CB6F" w14:textId="70BDFFAD" w:rsidR="006F5B49" w:rsidRDefault="006F5B49" w:rsidP="00E40C7C">
      <w:r w:rsidRPr="006F5B49">
        <w:t xml:space="preserve">K-means clustering was applied to the </w:t>
      </w:r>
      <w:r w:rsidRPr="006F5B49">
        <w:rPr>
          <w:b/>
          <w:bCs/>
        </w:rPr>
        <w:t>unfiltered dataset</w:t>
      </w:r>
      <w:r w:rsidRPr="006F5B49">
        <w:t xml:space="preserve"> to identify natural district archetypes, using five standardized features: per-pupil spending, poverty rate, math proficiency, reading proficiency, and enrollment. Unlike the regression dataset, this data was </w:t>
      </w:r>
      <w:r w:rsidRPr="006F5B49">
        <w:rPr>
          <w:b/>
          <w:bCs/>
        </w:rPr>
        <w:t>not restricted to an enrollment ≥ 100 cutoff and had no 99th-percentile cap on per-pupil spending</w:t>
      </w:r>
      <w:r w:rsidRPr="006F5B49">
        <w:t>, so small, high-spending districts remained available for the algorithm to potentially identify as their own archetype.</w:t>
      </w:r>
    </w:p>
    <w:p w14:paraId="45D19DEB" w14:textId="66E3E443" w:rsidR="00E40C7C" w:rsidRPr="00E40C7C" w:rsidRDefault="00E40C7C" w:rsidP="00E40C7C">
      <w:r w:rsidRPr="00E40C7C">
        <w:t xml:space="preserve">An initial elbow-method inspection suggested k=4, but lacked a sharp, unambiguous bend. Silhouette scores across k=2–6 showed </w:t>
      </w:r>
      <w:r w:rsidRPr="00E40C7C">
        <w:rPr>
          <w:b/>
          <w:bCs/>
        </w:rPr>
        <w:t>k=3 (0.321) meaningfully outperformed k=4 (0.236)</w:t>
      </w:r>
      <w:r w:rsidRPr="00E40C7C">
        <w:t>. A 2D visualization (poverty vs. math proficiency) confirmed this: k=3 produced two visibly distinct, cleanly separated groupings, while k=4 showed three of its four clusters heavily overlapping — indicating the fourth cluster split one genuine group into arbitrary sub-pieces rather than revealing a real pattern. The analysis was revised to use k=3.</w:t>
      </w:r>
    </w:p>
    <w:p w14:paraId="15A42467" w14:textId="77777777" w:rsidR="00E40C7C" w:rsidRDefault="00E40C7C" w:rsidP="00E40C7C">
      <w:pPr>
        <w:rPr>
          <w:b/>
          <w:bCs/>
        </w:rPr>
      </w:pPr>
      <w:r w:rsidRPr="00E40C7C">
        <w:rPr>
          <w:b/>
          <w:bCs/>
        </w:rPr>
        <w:t>Three archetypes emerged: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gridCol w:w="1727"/>
        <w:gridCol w:w="954"/>
        <w:gridCol w:w="1300"/>
        <w:gridCol w:w="1269"/>
        <w:gridCol w:w="1318"/>
        <w:gridCol w:w="1165"/>
        <w:gridCol w:w="576"/>
      </w:tblGrid>
      <w:tr w:rsidR="00600793" w:rsidRPr="00600793" w14:paraId="1B5C281E" w14:textId="77777777">
        <w:trPr>
          <w:tblHeader/>
          <w:tblCellSpacing w:w="15" w:type="dxa"/>
        </w:trPr>
        <w:tc>
          <w:tcPr>
            <w:tcW w:w="0" w:type="auto"/>
            <w:vAlign w:val="center"/>
            <w:hideMark/>
          </w:tcPr>
          <w:p w14:paraId="47A88A14" w14:textId="77777777" w:rsidR="00600793" w:rsidRPr="00600793" w:rsidRDefault="00600793" w:rsidP="00600793">
            <w:pPr>
              <w:rPr>
                <w:b/>
                <w:bCs/>
              </w:rPr>
            </w:pPr>
            <w:r w:rsidRPr="00600793">
              <w:rPr>
                <w:b/>
                <w:bCs/>
              </w:rPr>
              <w:t>Cluster</w:t>
            </w:r>
          </w:p>
        </w:tc>
        <w:tc>
          <w:tcPr>
            <w:tcW w:w="0" w:type="auto"/>
            <w:vAlign w:val="center"/>
            <w:hideMark/>
          </w:tcPr>
          <w:p w14:paraId="27C5FA35" w14:textId="77777777" w:rsidR="00600793" w:rsidRPr="00600793" w:rsidRDefault="00600793" w:rsidP="00600793">
            <w:pPr>
              <w:rPr>
                <w:b/>
                <w:bCs/>
              </w:rPr>
            </w:pPr>
            <w:r w:rsidRPr="00600793">
              <w:rPr>
                <w:b/>
                <w:bCs/>
              </w:rPr>
              <w:t>Description</w:t>
            </w:r>
          </w:p>
        </w:tc>
        <w:tc>
          <w:tcPr>
            <w:tcW w:w="0" w:type="auto"/>
            <w:vAlign w:val="center"/>
            <w:hideMark/>
          </w:tcPr>
          <w:p w14:paraId="711C8E08" w14:textId="77777777" w:rsidR="00600793" w:rsidRPr="00600793" w:rsidRDefault="00600793" w:rsidP="00600793">
            <w:pPr>
              <w:rPr>
                <w:b/>
                <w:bCs/>
              </w:rPr>
            </w:pPr>
            <w:r w:rsidRPr="00600793">
              <w:rPr>
                <w:b/>
                <w:bCs/>
              </w:rPr>
              <w:t>Avg. Poverty Rate</w:t>
            </w:r>
          </w:p>
        </w:tc>
        <w:tc>
          <w:tcPr>
            <w:tcW w:w="0" w:type="auto"/>
            <w:vAlign w:val="center"/>
            <w:hideMark/>
          </w:tcPr>
          <w:p w14:paraId="6F81AD62" w14:textId="77777777" w:rsidR="00600793" w:rsidRPr="00600793" w:rsidRDefault="00600793" w:rsidP="00600793">
            <w:pPr>
              <w:rPr>
                <w:b/>
                <w:bCs/>
              </w:rPr>
            </w:pPr>
            <w:r w:rsidRPr="00600793">
              <w:rPr>
                <w:b/>
                <w:bCs/>
              </w:rPr>
              <w:t>Avg. Per-Pupil Spending</w:t>
            </w:r>
          </w:p>
        </w:tc>
        <w:tc>
          <w:tcPr>
            <w:tcW w:w="0" w:type="auto"/>
            <w:vAlign w:val="center"/>
            <w:hideMark/>
          </w:tcPr>
          <w:p w14:paraId="5CE578C5" w14:textId="77777777" w:rsidR="00600793" w:rsidRPr="00600793" w:rsidRDefault="00600793" w:rsidP="00600793">
            <w:pPr>
              <w:rPr>
                <w:b/>
                <w:bCs/>
              </w:rPr>
            </w:pPr>
            <w:r w:rsidRPr="00600793">
              <w:rPr>
                <w:b/>
                <w:bCs/>
              </w:rPr>
              <w:t>Avg. Math Proficiency</w:t>
            </w:r>
          </w:p>
        </w:tc>
        <w:tc>
          <w:tcPr>
            <w:tcW w:w="0" w:type="auto"/>
            <w:vAlign w:val="center"/>
            <w:hideMark/>
          </w:tcPr>
          <w:p w14:paraId="6A56F442" w14:textId="77777777" w:rsidR="00600793" w:rsidRPr="00600793" w:rsidRDefault="00600793" w:rsidP="00600793">
            <w:pPr>
              <w:rPr>
                <w:b/>
                <w:bCs/>
              </w:rPr>
            </w:pPr>
            <w:r w:rsidRPr="00600793">
              <w:rPr>
                <w:b/>
                <w:bCs/>
              </w:rPr>
              <w:t>Avg. Reading Proficiency</w:t>
            </w:r>
          </w:p>
        </w:tc>
        <w:tc>
          <w:tcPr>
            <w:tcW w:w="0" w:type="auto"/>
            <w:vAlign w:val="center"/>
            <w:hideMark/>
          </w:tcPr>
          <w:p w14:paraId="24E567E3" w14:textId="77777777" w:rsidR="00600793" w:rsidRPr="00600793" w:rsidRDefault="00600793" w:rsidP="00600793">
            <w:pPr>
              <w:rPr>
                <w:b/>
                <w:bCs/>
              </w:rPr>
            </w:pPr>
            <w:r w:rsidRPr="00600793">
              <w:rPr>
                <w:b/>
                <w:bCs/>
              </w:rPr>
              <w:t>Avg. Enrollment</w:t>
            </w:r>
          </w:p>
        </w:tc>
        <w:tc>
          <w:tcPr>
            <w:tcW w:w="0" w:type="auto"/>
            <w:vAlign w:val="center"/>
            <w:hideMark/>
          </w:tcPr>
          <w:p w14:paraId="0FCF3620" w14:textId="77777777" w:rsidR="00600793" w:rsidRPr="00600793" w:rsidRDefault="00600793" w:rsidP="00600793">
            <w:pPr>
              <w:rPr>
                <w:b/>
                <w:bCs/>
              </w:rPr>
            </w:pPr>
            <w:r w:rsidRPr="00600793">
              <w:rPr>
                <w:b/>
                <w:bCs/>
              </w:rPr>
              <w:t>n</w:t>
            </w:r>
          </w:p>
        </w:tc>
      </w:tr>
      <w:tr w:rsidR="00600793" w:rsidRPr="00600793" w14:paraId="40C26333" w14:textId="77777777">
        <w:trPr>
          <w:tblCellSpacing w:w="15" w:type="dxa"/>
        </w:trPr>
        <w:tc>
          <w:tcPr>
            <w:tcW w:w="0" w:type="auto"/>
            <w:vAlign w:val="center"/>
            <w:hideMark/>
          </w:tcPr>
          <w:p w14:paraId="397BCD1B" w14:textId="77777777" w:rsidR="00600793" w:rsidRPr="00600793" w:rsidRDefault="00600793" w:rsidP="00600793">
            <w:r w:rsidRPr="00600793">
              <w:t>0</w:t>
            </w:r>
          </w:p>
        </w:tc>
        <w:tc>
          <w:tcPr>
            <w:tcW w:w="0" w:type="auto"/>
            <w:vAlign w:val="center"/>
            <w:hideMark/>
          </w:tcPr>
          <w:p w14:paraId="5D786637" w14:textId="77777777" w:rsidR="00600793" w:rsidRPr="00600793" w:rsidRDefault="00600793" w:rsidP="00600793">
            <w:r w:rsidRPr="00600793">
              <w:t>Low-poverty, well-resourced, high-performing</w:t>
            </w:r>
          </w:p>
        </w:tc>
        <w:tc>
          <w:tcPr>
            <w:tcW w:w="0" w:type="auto"/>
            <w:vAlign w:val="center"/>
            <w:hideMark/>
          </w:tcPr>
          <w:p w14:paraId="6EF62AE9" w14:textId="77777777" w:rsidR="00600793" w:rsidRPr="00600793" w:rsidRDefault="00600793" w:rsidP="00600793">
            <w:r w:rsidRPr="00600793">
              <w:t>10.51%</w:t>
            </w:r>
          </w:p>
        </w:tc>
        <w:tc>
          <w:tcPr>
            <w:tcW w:w="0" w:type="auto"/>
            <w:vAlign w:val="center"/>
            <w:hideMark/>
          </w:tcPr>
          <w:p w14:paraId="74D9322A" w14:textId="77777777" w:rsidR="00600793" w:rsidRPr="00600793" w:rsidRDefault="00600793" w:rsidP="00600793">
            <w:r w:rsidRPr="00600793">
              <w:t>$18,942.43</w:t>
            </w:r>
          </w:p>
        </w:tc>
        <w:tc>
          <w:tcPr>
            <w:tcW w:w="0" w:type="auto"/>
            <w:vAlign w:val="center"/>
            <w:hideMark/>
          </w:tcPr>
          <w:p w14:paraId="4B666979" w14:textId="77777777" w:rsidR="00600793" w:rsidRPr="00600793" w:rsidRDefault="00600793" w:rsidP="00600793">
            <w:r w:rsidRPr="00600793">
              <w:t>58.73%</w:t>
            </w:r>
          </w:p>
        </w:tc>
        <w:tc>
          <w:tcPr>
            <w:tcW w:w="0" w:type="auto"/>
            <w:vAlign w:val="center"/>
            <w:hideMark/>
          </w:tcPr>
          <w:p w14:paraId="32E9164F" w14:textId="77777777" w:rsidR="00600793" w:rsidRPr="00600793" w:rsidRDefault="00600793" w:rsidP="00600793">
            <w:r w:rsidRPr="00600793">
              <w:t>63.39%</w:t>
            </w:r>
          </w:p>
        </w:tc>
        <w:tc>
          <w:tcPr>
            <w:tcW w:w="0" w:type="auto"/>
            <w:vAlign w:val="center"/>
            <w:hideMark/>
          </w:tcPr>
          <w:p w14:paraId="330995E3" w14:textId="77777777" w:rsidR="00600793" w:rsidRPr="00600793" w:rsidRDefault="00600793" w:rsidP="00600793">
            <w:r w:rsidRPr="00600793">
              <w:t>3,459.85</w:t>
            </w:r>
          </w:p>
        </w:tc>
        <w:tc>
          <w:tcPr>
            <w:tcW w:w="0" w:type="auto"/>
            <w:vAlign w:val="center"/>
            <w:hideMark/>
          </w:tcPr>
          <w:p w14:paraId="11C8005B" w14:textId="77777777" w:rsidR="00600793" w:rsidRPr="00600793" w:rsidRDefault="00600793" w:rsidP="00600793">
            <w:r w:rsidRPr="00600793">
              <w:t>5,945</w:t>
            </w:r>
          </w:p>
        </w:tc>
      </w:tr>
      <w:tr w:rsidR="00600793" w:rsidRPr="00600793" w14:paraId="7596BA80" w14:textId="77777777">
        <w:trPr>
          <w:tblCellSpacing w:w="15" w:type="dxa"/>
        </w:trPr>
        <w:tc>
          <w:tcPr>
            <w:tcW w:w="0" w:type="auto"/>
            <w:vAlign w:val="center"/>
            <w:hideMark/>
          </w:tcPr>
          <w:p w14:paraId="7C646195" w14:textId="77777777" w:rsidR="00600793" w:rsidRPr="00600793" w:rsidRDefault="00600793" w:rsidP="00600793">
            <w:r w:rsidRPr="00600793">
              <w:t>1</w:t>
            </w:r>
          </w:p>
        </w:tc>
        <w:tc>
          <w:tcPr>
            <w:tcW w:w="0" w:type="auto"/>
            <w:vAlign w:val="center"/>
            <w:hideMark/>
          </w:tcPr>
          <w:p w14:paraId="32008AF7" w14:textId="77777777" w:rsidR="00600793" w:rsidRPr="00600793" w:rsidRDefault="00600793" w:rsidP="00600793">
            <w:r w:rsidRPr="00600793">
              <w:t>High-poverty, under-performing</w:t>
            </w:r>
          </w:p>
        </w:tc>
        <w:tc>
          <w:tcPr>
            <w:tcW w:w="0" w:type="auto"/>
            <w:vAlign w:val="center"/>
            <w:hideMark/>
          </w:tcPr>
          <w:p w14:paraId="59DFE6B1" w14:textId="77777777" w:rsidR="00600793" w:rsidRPr="00600793" w:rsidRDefault="00600793" w:rsidP="00600793">
            <w:r w:rsidRPr="00600793">
              <w:t>21.32%</w:t>
            </w:r>
          </w:p>
        </w:tc>
        <w:tc>
          <w:tcPr>
            <w:tcW w:w="0" w:type="auto"/>
            <w:vAlign w:val="center"/>
            <w:hideMark/>
          </w:tcPr>
          <w:p w14:paraId="7DA200A5" w14:textId="77777777" w:rsidR="00600793" w:rsidRPr="00600793" w:rsidRDefault="00600793" w:rsidP="00600793">
            <w:r w:rsidRPr="00600793">
              <w:t>$15,809.47</w:t>
            </w:r>
          </w:p>
        </w:tc>
        <w:tc>
          <w:tcPr>
            <w:tcW w:w="0" w:type="auto"/>
            <w:vAlign w:val="center"/>
            <w:hideMark/>
          </w:tcPr>
          <w:p w14:paraId="4AFFACCE" w14:textId="77777777" w:rsidR="00600793" w:rsidRPr="00600793" w:rsidRDefault="00600793" w:rsidP="00600793">
            <w:r w:rsidRPr="00600793">
              <w:t>32.52%</w:t>
            </w:r>
          </w:p>
        </w:tc>
        <w:tc>
          <w:tcPr>
            <w:tcW w:w="0" w:type="auto"/>
            <w:vAlign w:val="center"/>
            <w:hideMark/>
          </w:tcPr>
          <w:p w14:paraId="4D954635" w14:textId="77777777" w:rsidR="00600793" w:rsidRPr="00600793" w:rsidRDefault="00600793" w:rsidP="00600793">
            <w:r w:rsidRPr="00600793">
              <w:t>38.38%</w:t>
            </w:r>
          </w:p>
        </w:tc>
        <w:tc>
          <w:tcPr>
            <w:tcW w:w="0" w:type="auto"/>
            <w:vAlign w:val="center"/>
            <w:hideMark/>
          </w:tcPr>
          <w:p w14:paraId="72B34441" w14:textId="77777777" w:rsidR="00600793" w:rsidRPr="00600793" w:rsidRDefault="00600793" w:rsidP="00600793">
            <w:r w:rsidRPr="00600793">
              <w:t>2,954.79</w:t>
            </w:r>
          </w:p>
        </w:tc>
        <w:tc>
          <w:tcPr>
            <w:tcW w:w="0" w:type="auto"/>
            <w:vAlign w:val="center"/>
            <w:hideMark/>
          </w:tcPr>
          <w:p w14:paraId="624E6C1F" w14:textId="77777777" w:rsidR="00600793" w:rsidRPr="00600793" w:rsidRDefault="00600793" w:rsidP="00600793">
            <w:r w:rsidRPr="00600793">
              <w:t>6,789</w:t>
            </w:r>
          </w:p>
        </w:tc>
      </w:tr>
      <w:tr w:rsidR="00600793" w:rsidRPr="00600793" w14:paraId="24F48075" w14:textId="77777777">
        <w:trPr>
          <w:tblCellSpacing w:w="15" w:type="dxa"/>
        </w:trPr>
        <w:tc>
          <w:tcPr>
            <w:tcW w:w="0" w:type="auto"/>
            <w:vAlign w:val="center"/>
            <w:hideMark/>
          </w:tcPr>
          <w:p w14:paraId="327DA727" w14:textId="77777777" w:rsidR="00600793" w:rsidRPr="00600793" w:rsidRDefault="00600793" w:rsidP="00600793">
            <w:r w:rsidRPr="00600793">
              <w:t>2</w:t>
            </w:r>
          </w:p>
        </w:tc>
        <w:tc>
          <w:tcPr>
            <w:tcW w:w="0" w:type="auto"/>
            <w:vAlign w:val="center"/>
            <w:hideMark/>
          </w:tcPr>
          <w:p w14:paraId="19825751" w14:textId="77777777" w:rsidR="00600793" w:rsidRPr="00600793" w:rsidRDefault="00600793" w:rsidP="00600793">
            <w:r w:rsidRPr="00600793">
              <w:t>Large urban mega-districts</w:t>
            </w:r>
          </w:p>
        </w:tc>
        <w:tc>
          <w:tcPr>
            <w:tcW w:w="0" w:type="auto"/>
            <w:vAlign w:val="center"/>
            <w:hideMark/>
          </w:tcPr>
          <w:p w14:paraId="385C713A" w14:textId="77777777" w:rsidR="00600793" w:rsidRPr="00600793" w:rsidRDefault="00600793" w:rsidP="00600793">
            <w:r w:rsidRPr="00600793">
              <w:t>17.77%</w:t>
            </w:r>
          </w:p>
        </w:tc>
        <w:tc>
          <w:tcPr>
            <w:tcW w:w="0" w:type="auto"/>
            <w:vAlign w:val="center"/>
            <w:hideMark/>
          </w:tcPr>
          <w:p w14:paraId="4D709DC1" w14:textId="77777777" w:rsidR="00600793" w:rsidRPr="00600793" w:rsidRDefault="00600793" w:rsidP="00600793">
            <w:r w:rsidRPr="00600793">
              <w:t>$14,180.71</w:t>
            </w:r>
          </w:p>
        </w:tc>
        <w:tc>
          <w:tcPr>
            <w:tcW w:w="0" w:type="auto"/>
            <w:vAlign w:val="center"/>
            <w:hideMark/>
          </w:tcPr>
          <w:p w14:paraId="7460CD3A" w14:textId="77777777" w:rsidR="00600793" w:rsidRPr="00600793" w:rsidRDefault="00600793" w:rsidP="00600793">
            <w:r w:rsidRPr="00600793">
              <w:t>46.68%</w:t>
            </w:r>
          </w:p>
        </w:tc>
        <w:tc>
          <w:tcPr>
            <w:tcW w:w="0" w:type="auto"/>
            <w:vAlign w:val="center"/>
            <w:hideMark/>
          </w:tcPr>
          <w:p w14:paraId="40AE1B4A" w14:textId="77777777" w:rsidR="00600793" w:rsidRPr="00600793" w:rsidRDefault="00600793" w:rsidP="00600793">
            <w:r w:rsidRPr="00600793">
              <w:t>48.79%</w:t>
            </w:r>
          </w:p>
        </w:tc>
        <w:tc>
          <w:tcPr>
            <w:tcW w:w="0" w:type="auto"/>
            <w:vAlign w:val="center"/>
            <w:hideMark/>
          </w:tcPr>
          <w:p w14:paraId="7259AB0A" w14:textId="77777777" w:rsidR="00600793" w:rsidRPr="00600793" w:rsidRDefault="00600793" w:rsidP="00600793">
            <w:r w:rsidRPr="00600793">
              <w:t>168,610.68</w:t>
            </w:r>
          </w:p>
        </w:tc>
        <w:tc>
          <w:tcPr>
            <w:tcW w:w="0" w:type="auto"/>
            <w:vAlign w:val="center"/>
            <w:hideMark/>
          </w:tcPr>
          <w:p w14:paraId="75039192" w14:textId="77777777" w:rsidR="00600793" w:rsidRPr="00600793" w:rsidRDefault="00600793" w:rsidP="00600793">
            <w:r w:rsidRPr="00600793">
              <w:t>34</w:t>
            </w:r>
          </w:p>
        </w:tc>
      </w:tr>
    </w:tbl>
    <w:p w14:paraId="3501C38B" w14:textId="77777777" w:rsidR="00600793" w:rsidRPr="00E40C7C" w:rsidRDefault="00600793" w:rsidP="00E40C7C"/>
    <w:p w14:paraId="490BD8F8" w14:textId="2B87227A" w:rsidR="00E40C7C" w:rsidRPr="00600793" w:rsidRDefault="00E40C7C" w:rsidP="00600793">
      <w:pPr>
        <w:ind w:left="360"/>
        <w:rPr>
          <w:b/>
          <w:bCs/>
        </w:rPr>
      </w:pPr>
      <w:r w:rsidRPr="00600793">
        <w:rPr>
          <w:b/>
          <w:bCs/>
        </w:rPr>
        <w:t>Robustness checks:</w:t>
      </w:r>
    </w:p>
    <w:p w14:paraId="668F6C45" w14:textId="77777777" w:rsidR="00E40C7C" w:rsidRPr="00E40C7C" w:rsidRDefault="00E40C7C" w:rsidP="00E40C7C">
      <w:pPr>
        <w:numPr>
          <w:ilvl w:val="0"/>
          <w:numId w:val="3"/>
        </w:numPr>
      </w:pPr>
      <w:r w:rsidRPr="00E40C7C">
        <w:rPr>
          <w:i/>
          <w:iCs/>
        </w:rPr>
        <w:t>Log-transformed enrollment</w:t>
      </w:r>
      <w:r w:rsidRPr="00E40C7C">
        <w:t xml:space="preserve"> was tested (enrollment is heavily right-skewed), but silhouette scores dropped at every k (k=3: 0.321 → 0.268) — the raw scale was retained, since it better captured genuine separation of mega-districts rather than distorting it.</w:t>
      </w:r>
    </w:p>
    <w:p w14:paraId="27398C87" w14:textId="77777777" w:rsidR="00E40C7C" w:rsidRPr="00E40C7C" w:rsidRDefault="00E40C7C" w:rsidP="00E40C7C">
      <w:pPr>
        <w:numPr>
          <w:ilvl w:val="0"/>
          <w:numId w:val="3"/>
        </w:numPr>
      </w:pPr>
      <w:r w:rsidRPr="00E40C7C">
        <w:rPr>
          <w:i/>
          <w:iCs/>
        </w:rPr>
        <w:t>Per-sample silhouette analysis</w:t>
      </w:r>
      <w:r w:rsidRPr="00E40C7C">
        <w:t xml:space="preserve"> showed the mega-district cluster, despite its small size, was cleanly separated with no negative values; the two larger clusters showed strong average separation but some districts near the poverty/proficiency boundary sat in a transition zone.</w:t>
      </w:r>
    </w:p>
    <w:p w14:paraId="65D0DB60" w14:textId="77777777" w:rsidR="00E40C7C" w:rsidRPr="00E40C7C" w:rsidRDefault="00E40C7C" w:rsidP="00E40C7C">
      <w:pPr>
        <w:numPr>
          <w:ilvl w:val="0"/>
          <w:numId w:val="3"/>
        </w:numPr>
      </w:pPr>
      <w:r w:rsidRPr="00E40C7C">
        <w:rPr>
          <w:i/>
          <w:iCs/>
        </w:rPr>
        <w:t>Stability across random seeds</w:t>
      </w:r>
      <w:r w:rsidRPr="00E40C7C">
        <w:t xml:space="preserve"> — five re-runs compared via Adjusted Rand Index scored 0.994–1.000, confirming the three-cluster solution is stable and not dependent on random initialization.</w:t>
      </w:r>
    </w:p>
    <w:p w14:paraId="187CE4E5" w14:textId="77777777" w:rsidR="00E40C7C" w:rsidRPr="00E40C7C" w:rsidRDefault="00E40C7C" w:rsidP="00E40C7C">
      <w:r w:rsidRPr="00E40C7C">
        <w:t>The mega-district finding proved robust across both the k=3 and k=4 solutions, strengthening confidence in it as a genuine pattern rather than an artifact of a particular cluster count.</w:t>
      </w:r>
    </w:p>
    <w:p w14:paraId="5347F8FD" w14:textId="77777777" w:rsidR="004C034A" w:rsidRDefault="004C034A" w:rsidP="00E40C7C">
      <w:pPr>
        <w:rPr>
          <w:b/>
          <w:bCs/>
          <w:sz w:val="28"/>
          <w:szCs w:val="28"/>
        </w:rPr>
      </w:pPr>
    </w:p>
    <w:p w14:paraId="0A65D1B4" w14:textId="7A9C2518" w:rsidR="00E40C7C" w:rsidRPr="00E40C7C" w:rsidRDefault="00E40C7C" w:rsidP="00E40C7C">
      <w:pPr>
        <w:rPr>
          <w:b/>
          <w:bCs/>
          <w:sz w:val="28"/>
          <w:szCs w:val="28"/>
        </w:rPr>
      </w:pPr>
      <w:r w:rsidRPr="00E40C7C">
        <w:rPr>
          <w:b/>
          <w:bCs/>
          <w:sz w:val="28"/>
          <w:szCs w:val="28"/>
        </w:rPr>
        <w:lastRenderedPageBreak/>
        <w:t>Limitations</w:t>
      </w:r>
    </w:p>
    <w:p w14:paraId="7F2A95D1" w14:textId="77777777" w:rsidR="00E40C7C" w:rsidRPr="00E40C7C" w:rsidRDefault="00E40C7C" w:rsidP="00E40C7C">
      <w:pPr>
        <w:numPr>
          <w:ilvl w:val="0"/>
          <w:numId w:val="4"/>
        </w:numPr>
      </w:pPr>
      <w:r w:rsidRPr="00E40C7C">
        <w:t>Suppressed proficiency values were estimated via midpoint conversion, not the true reported values — a standard approach, but one that introduces some imprecision, particularly for wide ranges.</w:t>
      </w:r>
    </w:p>
    <w:p w14:paraId="1FC2724E" w14:textId="77777777" w:rsidR="00E40C7C" w:rsidRPr="00E40C7C" w:rsidRDefault="00E40C7C" w:rsidP="00E40C7C">
      <w:pPr>
        <w:numPr>
          <w:ilvl w:val="0"/>
          <w:numId w:val="4"/>
        </w:numPr>
      </w:pPr>
      <w:r w:rsidRPr="00E40C7C">
        <w:t>The enrollment/population thresholds used for regression stability (≥100 students, ≥100 school-age children) necessarily exclude some legitimate small districts — a deliberate precision-over-completeness trade-off.</w:t>
      </w:r>
    </w:p>
    <w:p w14:paraId="01A7EC16" w14:textId="77777777" w:rsidR="00E40C7C" w:rsidRPr="00E40C7C" w:rsidRDefault="00E40C7C" w:rsidP="00E40C7C">
      <w:pPr>
        <w:numPr>
          <w:ilvl w:val="0"/>
          <w:numId w:val="4"/>
        </w:numPr>
      </w:pPr>
      <w:r w:rsidRPr="00E40C7C">
        <w:t>R² values in both the baseline and per-cluster regressions are modest, consistent with the reality that academic outcomes are influenced by many unmeasured factors (teacher quality, family circumstances, etc.) beyond spending and poverty.</w:t>
      </w:r>
    </w:p>
    <w:p w14:paraId="2218C1FD" w14:textId="77777777" w:rsidR="00E40C7C" w:rsidRPr="00E40C7C" w:rsidRDefault="00E40C7C" w:rsidP="00E40C7C">
      <w:pPr>
        <w:numPr>
          <w:ilvl w:val="0"/>
          <w:numId w:val="4"/>
        </w:numPr>
      </w:pPr>
      <w:r w:rsidRPr="00E40C7C">
        <w:t>Cluster 2 (mega-districts) is a small sample (34 districts), so its per-cluster regression estimates should be treated as suggestive rather than conclusive.</w:t>
      </w:r>
    </w:p>
    <w:p w14:paraId="38D5B91A" w14:textId="77777777" w:rsidR="004C034A" w:rsidRDefault="004C034A" w:rsidP="00E40C7C">
      <w:pPr>
        <w:rPr>
          <w:b/>
          <w:bCs/>
          <w:sz w:val="28"/>
          <w:szCs w:val="28"/>
        </w:rPr>
      </w:pPr>
    </w:p>
    <w:p w14:paraId="2AD6D104" w14:textId="09B3266C" w:rsidR="00E40C7C" w:rsidRPr="00E40C7C" w:rsidRDefault="00E40C7C" w:rsidP="00E40C7C">
      <w:pPr>
        <w:rPr>
          <w:b/>
          <w:bCs/>
          <w:sz w:val="28"/>
          <w:szCs w:val="28"/>
        </w:rPr>
      </w:pPr>
      <w:r w:rsidRPr="00E40C7C">
        <w:rPr>
          <w:b/>
          <w:bCs/>
          <w:sz w:val="28"/>
          <w:szCs w:val="28"/>
        </w:rPr>
        <w:t>Conclusion</w:t>
      </w:r>
    </w:p>
    <w:p w14:paraId="0E1D5E16" w14:textId="77777777" w:rsidR="00E40C7C" w:rsidRPr="00E40C7C" w:rsidRDefault="00E40C7C" w:rsidP="00E40C7C">
      <w:r w:rsidRPr="00E40C7C">
        <w:t>Poverty is the dominant, consistent predictor of academic proficiency across all models. Per-pupil spending's effect is smaller, inconsistent across subjects, and conditional on poverty level — showing a modest positive relationship only in lower-poverty districts, and weakening or reversing as poverty increases. Clustering independently identified three coherent district archetypes — affluent high-performers, high-poverty under-performers, and large-scale, lower-cost mega-districts — and the interaction/per-cluster regression results reinforced the same core finding from a different analytical angle: spending is not a uniform lever for improving outcomes, and its relationship with proficiency depends heavily on the socioeconomic context of the district.</w:t>
      </w:r>
    </w:p>
    <w:p w14:paraId="60A463F6" w14:textId="77777777" w:rsidR="00BA3AE5" w:rsidRDefault="00BA3AE5"/>
    <w:sectPr w:rsidR="00BA3A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66AA"/>
    <w:multiLevelType w:val="multilevel"/>
    <w:tmpl w:val="96E8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754C4"/>
    <w:multiLevelType w:val="multilevel"/>
    <w:tmpl w:val="5898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05139"/>
    <w:multiLevelType w:val="multilevel"/>
    <w:tmpl w:val="93B4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C3CA0"/>
    <w:multiLevelType w:val="multilevel"/>
    <w:tmpl w:val="F4F6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B30063"/>
    <w:multiLevelType w:val="multilevel"/>
    <w:tmpl w:val="2966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A424F1"/>
    <w:multiLevelType w:val="multilevel"/>
    <w:tmpl w:val="D112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034005"/>
    <w:multiLevelType w:val="multilevel"/>
    <w:tmpl w:val="8B10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4465B"/>
    <w:multiLevelType w:val="multilevel"/>
    <w:tmpl w:val="BDE6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B341C4"/>
    <w:multiLevelType w:val="multilevel"/>
    <w:tmpl w:val="9D10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01693A"/>
    <w:multiLevelType w:val="hybridMultilevel"/>
    <w:tmpl w:val="55727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C9711B4"/>
    <w:multiLevelType w:val="multilevel"/>
    <w:tmpl w:val="A01C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008451">
    <w:abstractNumId w:val="5"/>
  </w:num>
  <w:num w:numId="2" w16cid:durableId="472452302">
    <w:abstractNumId w:val="4"/>
  </w:num>
  <w:num w:numId="3" w16cid:durableId="391347496">
    <w:abstractNumId w:val="10"/>
  </w:num>
  <w:num w:numId="4" w16cid:durableId="1516919440">
    <w:abstractNumId w:val="1"/>
  </w:num>
  <w:num w:numId="5" w16cid:durableId="1897619604">
    <w:abstractNumId w:val="9"/>
  </w:num>
  <w:num w:numId="6" w16cid:durableId="1494226490">
    <w:abstractNumId w:val="0"/>
  </w:num>
  <w:num w:numId="7" w16cid:durableId="1771854829">
    <w:abstractNumId w:val="8"/>
  </w:num>
  <w:num w:numId="8" w16cid:durableId="144513074">
    <w:abstractNumId w:val="6"/>
  </w:num>
  <w:num w:numId="9" w16cid:durableId="239797943">
    <w:abstractNumId w:val="7"/>
  </w:num>
  <w:num w:numId="10" w16cid:durableId="1163468863">
    <w:abstractNumId w:val="2"/>
  </w:num>
  <w:num w:numId="11" w16cid:durableId="405955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C7C"/>
    <w:rsid w:val="003A3E7F"/>
    <w:rsid w:val="004C034A"/>
    <w:rsid w:val="00600793"/>
    <w:rsid w:val="006F5B49"/>
    <w:rsid w:val="00A75E9F"/>
    <w:rsid w:val="00BA3AE5"/>
    <w:rsid w:val="00BA71A3"/>
    <w:rsid w:val="00CA1B4D"/>
    <w:rsid w:val="00E40C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6BA82"/>
  <w15:chartTrackingRefBased/>
  <w15:docId w15:val="{BDB73B33-FBDD-4E5C-9E3F-3086B3FF4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C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0C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0C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0C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0C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0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C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0C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0C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0C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0C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0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C7C"/>
    <w:rPr>
      <w:rFonts w:eastAsiaTheme="majorEastAsia" w:cstheme="majorBidi"/>
      <w:color w:val="272727" w:themeColor="text1" w:themeTint="D8"/>
    </w:rPr>
  </w:style>
  <w:style w:type="paragraph" w:styleId="Title">
    <w:name w:val="Title"/>
    <w:basedOn w:val="Normal"/>
    <w:next w:val="Normal"/>
    <w:link w:val="TitleChar"/>
    <w:uiPriority w:val="10"/>
    <w:qFormat/>
    <w:rsid w:val="00E40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C7C"/>
    <w:pPr>
      <w:spacing w:before="160"/>
      <w:jc w:val="center"/>
    </w:pPr>
    <w:rPr>
      <w:i/>
      <w:iCs/>
      <w:color w:val="404040" w:themeColor="text1" w:themeTint="BF"/>
    </w:rPr>
  </w:style>
  <w:style w:type="character" w:customStyle="1" w:styleId="QuoteChar">
    <w:name w:val="Quote Char"/>
    <w:basedOn w:val="DefaultParagraphFont"/>
    <w:link w:val="Quote"/>
    <w:uiPriority w:val="29"/>
    <w:rsid w:val="00E40C7C"/>
    <w:rPr>
      <w:i/>
      <w:iCs/>
      <w:color w:val="404040" w:themeColor="text1" w:themeTint="BF"/>
    </w:rPr>
  </w:style>
  <w:style w:type="paragraph" w:styleId="ListParagraph">
    <w:name w:val="List Paragraph"/>
    <w:basedOn w:val="Normal"/>
    <w:uiPriority w:val="34"/>
    <w:qFormat/>
    <w:rsid w:val="00E40C7C"/>
    <w:pPr>
      <w:ind w:left="720"/>
      <w:contextualSpacing/>
    </w:pPr>
  </w:style>
  <w:style w:type="character" w:styleId="IntenseEmphasis">
    <w:name w:val="Intense Emphasis"/>
    <w:basedOn w:val="DefaultParagraphFont"/>
    <w:uiPriority w:val="21"/>
    <w:qFormat/>
    <w:rsid w:val="00E40C7C"/>
    <w:rPr>
      <w:i/>
      <w:iCs/>
      <w:color w:val="2F5496" w:themeColor="accent1" w:themeShade="BF"/>
    </w:rPr>
  </w:style>
  <w:style w:type="paragraph" w:styleId="IntenseQuote">
    <w:name w:val="Intense Quote"/>
    <w:basedOn w:val="Normal"/>
    <w:next w:val="Normal"/>
    <w:link w:val="IntenseQuoteChar"/>
    <w:uiPriority w:val="30"/>
    <w:qFormat/>
    <w:rsid w:val="00E40C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C7C"/>
    <w:rPr>
      <w:i/>
      <w:iCs/>
      <w:color w:val="2F5496" w:themeColor="accent1" w:themeShade="BF"/>
    </w:rPr>
  </w:style>
  <w:style w:type="character" w:styleId="IntenseReference">
    <w:name w:val="Intense Reference"/>
    <w:basedOn w:val="DefaultParagraphFont"/>
    <w:uiPriority w:val="32"/>
    <w:qFormat/>
    <w:rsid w:val="00E40C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1738</Words>
  <Characters>9909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Shelja Solanki</dc:creator>
  <cp:keywords/>
  <dc:description/>
  <cp:lastModifiedBy>Shelja Solanki</cp:lastModifiedBy>
  <cp:revision>1</cp:revision>
  <dcterms:created xsi:type="dcterms:W3CDTF">2026-08-13T16:19:00Z</dcterms:created>
  <dcterms:modified xsi:type="dcterms:W3CDTF">2026-08-13T17:13:00Z</dcterms:modified>
</cp:coreProperties>
</file>