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b/>
          <w:bCs/>
          <w:color w:val="000000"/>
          <w:sz w:val="44"/>
          <w:szCs w:val="44"/>
        </w:rPr>
        <w:t>CHAPTER 3  </w:t>
      </w:r>
      <w:r w:rsidRPr="00447551">
        <w:rPr>
          <w:rFonts w:ascii="Times New Roman" w:eastAsia="Times New Roman" w:hAnsi="Times New Roman" w:cs="Times New Roman"/>
          <w:b/>
          <w:bCs/>
          <w:color w:val="000000"/>
          <w:sz w:val="44"/>
        </w:rPr>
        <w:t> </w:t>
      </w:r>
      <w:r w:rsidRPr="00447551">
        <w:rPr>
          <w:rFonts w:ascii="Times New Roman" w:eastAsia="Times New Roman" w:hAnsi="Times New Roman" w:cs="Times New Roman"/>
          <w:b/>
          <w:bCs/>
          <w:color w:val="000000"/>
          <w:sz w:val="44"/>
          <w:szCs w:val="44"/>
        </w:rPr>
        <w:t>19 Edition</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Courier" w:eastAsia="Times New Roman" w:hAnsi="Courier" w:cs="Times New Roman"/>
          <w:color w:val="00000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6pt;height:.75pt"/>
        </w:pic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b/>
          <w:bCs/>
          <w:color w:val="000000"/>
          <w:sz w:val="44"/>
          <w:szCs w:val="44"/>
        </w:rPr>
        <w:t> </w:t>
      </w:r>
    </w:p>
    <w:p w:rsidR="00447551" w:rsidRPr="00447551" w:rsidRDefault="00447551" w:rsidP="00447551">
      <w:pPr>
        <w:spacing w:after="0" w:line="240" w:lineRule="auto"/>
        <w:jc w:val="center"/>
        <w:rPr>
          <w:rFonts w:ascii="Courier" w:eastAsia="Times New Roman" w:hAnsi="Courier" w:cs="Times New Roman"/>
          <w:color w:val="000000"/>
          <w:sz w:val="27"/>
          <w:szCs w:val="27"/>
        </w:rPr>
      </w:pPr>
      <w:r w:rsidRPr="00447551">
        <w:rPr>
          <w:rFonts w:ascii="Times New Roman" w:eastAsia="Times New Roman" w:hAnsi="Times New Roman" w:cs="Times New Roman"/>
          <w:b/>
          <w:bCs/>
          <w:color w:val="000000"/>
          <w:sz w:val="44"/>
          <w:szCs w:val="44"/>
        </w:rPr>
        <w:t>Professional Ethics</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b/>
          <w:bCs/>
          <w:color w:val="000000"/>
        </w:rPr>
        <w:t> </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b/>
          <w:bCs/>
          <w:color w:val="000000"/>
        </w:rPr>
        <w:t> </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b/>
          <w:bCs/>
          <w:color w:val="000000"/>
        </w:rPr>
        <w:t> </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b/>
          <w:bCs/>
          <w:color w:val="000000"/>
        </w:rPr>
        <w:t> </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b/>
          <w:bCs/>
          <w:color w:val="000000"/>
        </w:rPr>
        <w:t>Review Questions</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3–1       An </w:t>
      </w:r>
      <w:r w:rsidRPr="00447551">
        <w:rPr>
          <w:rFonts w:ascii="Times New Roman" w:eastAsia="Times New Roman" w:hAnsi="Times New Roman" w:cs="Times New Roman"/>
          <w:i/>
          <w:iCs/>
          <w:color w:val="000000"/>
        </w:rPr>
        <w:t>ethical dilemma</w:t>
      </w:r>
      <w:r w:rsidRPr="00447551">
        <w:rPr>
          <w:rFonts w:ascii="Times New Roman" w:eastAsia="Times New Roman" w:hAnsi="Times New Roman" w:cs="Times New Roman"/>
          <w:color w:val="000000"/>
        </w:rPr>
        <w:t> is a situation that an individual faces involving a decision about appropriate behavior.  Ethical dilemmas generally involve situations in which the welfare of one or more other individuals is affected by the results of one’s decision.</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3–2       Internal and external standards represent the two major types of constraints on decisions that involve ethical issues.  Examples of internal standards are individuals' views on the importance of truthfulness, fairness, loyalty, and caring for others.  External standards are those that are imposed upon individuals by society, peers, organizations, employers, or one’s profession.  For example, the AICPA </w:t>
      </w:r>
      <w:r w:rsidRPr="00447551">
        <w:rPr>
          <w:rFonts w:ascii="Times New Roman" w:eastAsia="Times New Roman" w:hAnsi="Times New Roman" w:cs="Times New Roman"/>
          <w:i/>
          <w:iCs/>
          <w:color w:val="000000"/>
        </w:rPr>
        <w:t>Code of Professional Conduct</w:t>
      </w:r>
      <w:r w:rsidRPr="00447551">
        <w:rPr>
          <w:rFonts w:ascii="Times New Roman" w:eastAsia="Times New Roman" w:hAnsi="Times New Roman" w:cs="Times New Roman"/>
          <w:color w:val="000000"/>
        </w:rPr>
        <w:t> is an external constraint on members of the AICPA.</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3–3       The basic purpose of a professional code of ethics is to provide members of a profession with guidelines for maintaining a professional attitude and conducting themselves in a manner that will enhance the stature of their discipline.</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xml:space="preserve">3–4       </w:t>
      </w:r>
      <w:proofErr w:type="gramStart"/>
      <w:r w:rsidRPr="00447551">
        <w:rPr>
          <w:rFonts w:ascii="Times New Roman" w:eastAsia="Times New Roman" w:hAnsi="Times New Roman" w:cs="Times New Roman"/>
          <w:color w:val="000000"/>
        </w:rPr>
        <w:t>The</w:t>
      </w:r>
      <w:proofErr w:type="gramEnd"/>
      <w:r w:rsidRPr="00447551">
        <w:rPr>
          <w:rFonts w:ascii="Times New Roman" w:eastAsia="Times New Roman" w:hAnsi="Times New Roman" w:cs="Times New Roman"/>
          <w:color w:val="000000"/>
        </w:rPr>
        <w:t xml:space="preserve"> two parts of the AICPA </w:t>
      </w:r>
      <w:r w:rsidRPr="00447551">
        <w:rPr>
          <w:rFonts w:ascii="Times New Roman" w:eastAsia="Times New Roman" w:hAnsi="Times New Roman" w:cs="Times New Roman"/>
          <w:i/>
          <w:iCs/>
          <w:color w:val="000000"/>
        </w:rPr>
        <w:t>Code of Professional Conduct</w:t>
      </w:r>
      <w:r w:rsidRPr="00447551">
        <w:rPr>
          <w:rFonts w:ascii="Times New Roman" w:eastAsia="Times New Roman" w:hAnsi="Times New Roman" w:cs="Times New Roman"/>
          <w:color w:val="000000"/>
        </w:rPr>
        <w:t> are:</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(1)        </w:t>
      </w:r>
      <w:r w:rsidRPr="00447551">
        <w:rPr>
          <w:rFonts w:ascii="Times New Roman" w:eastAsia="Times New Roman" w:hAnsi="Times New Roman" w:cs="Times New Roman"/>
          <w:b/>
          <w:bCs/>
          <w:i/>
          <w:iCs/>
          <w:color w:val="000000"/>
        </w:rPr>
        <w:t>Principles</w:t>
      </w:r>
      <w:r w:rsidRPr="00447551">
        <w:rPr>
          <w:rFonts w:ascii="Times New Roman" w:eastAsia="Times New Roman" w:hAnsi="Times New Roman" w:cs="Times New Roman"/>
          <w:color w:val="000000"/>
        </w:rPr>
        <w:t>—goal-oriented and aspirational guidelines that address members' responsibilities, the public interest, integrity and objectivity, independence, due care, and the scope and nature of services.</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(2)        </w:t>
      </w:r>
      <w:r w:rsidRPr="00447551">
        <w:rPr>
          <w:rFonts w:ascii="Times New Roman" w:eastAsia="Times New Roman" w:hAnsi="Times New Roman" w:cs="Times New Roman"/>
          <w:b/>
          <w:bCs/>
          <w:i/>
          <w:iCs/>
          <w:color w:val="000000"/>
        </w:rPr>
        <w:t>Rules</w:t>
      </w:r>
      <w:r w:rsidRPr="00447551">
        <w:rPr>
          <w:rFonts w:ascii="Times New Roman" w:eastAsia="Times New Roman" w:hAnsi="Times New Roman" w:cs="Times New Roman"/>
          <w:color w:val="000000"/>
        </w:rPr>
        <w:t>—more detailed regulations that support the principles.</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xml:space="preserve">3–5       </w:t>
      </w:r>
      <w:proofErr w:type="gramStart"/>
      <w:r w:rsidRPr="00447551">
        <w:rPr>
          <w:rFonts w:ascii="Times New Roman" w:eastAsia="Times New Roman" w:hAnsi="Times New Roman" w:cs="Times New Roman"/>
          <w:color w:val="000000"/>
        </w:rPr>
        <w:t>The</w:t>
      </w:r>
      <w:proofErr w:type="gramEnd"/>
      <w:r w:rsidRPr="00447551">
        <w:rPr>
          <w:rFonts w:ascii="Times New Roman" w:eastAsia="Times New Roman" w:hAnsi="Times New Roman" w:cs="Times New Roman"/>
          <w:color w:val="000000"/>
        </w:rPr>
        <w:t xml:space="preserve"> categories of threats to independence include (only three required):</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080" w:hanging="36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(1)</w:t>
      </w:r>
      <w:r w:rsidRPr="00447551">
        <w:rPr>
          <w:rFonts w:ascii="Times New Roman" w:eastAsia="Times New Roman" w:hAnsi="Times New Roman" w:cs="Times New Roman"/>
          <w:color w:val="000000"/>
          <w:sz w:val="14"/>
          <w:szCs w:val="14"/>
        </w:rPr>
        <w:t>   </w:t>
      </w:r>
      <w:r w:rsidRPr="00447551">
        <w:rPr>
          <w:rFonts w:ascii="Times New Roman" w:eastAsia="Times New Roman" w:hAnsi="Times New Roman" w:cs="Times New Roman"/>
          <w:color w:val="000000"/>
          <w:sz w:val="14"/>
        </w:rPr>
        <w:t> </w:t>
      </w:r>
      <w:r w:rsidRPr="00447551">
        <w:rPr>
          <w:rFonts w:ascii="Times New Roman" w:eastAsia="Times New Roman" w:hAnsi="Times New Roman" w:cs="Times New Roman"/>
          <w:color w:val="000000"/>
        </w:rPr>
        <w:t>      Self-review—Using as a part of the attest engagement evidence that was obtained on a          nonattest engagement.</w:t>
      </w:r>
    </w:p>
    <w:p w:rsidR="00447551" w:rsidRPr="00447551" w:rsidRDefault="00447551" w:rsidP="00447551">
      <w:pPr>
        <w:spacing w:after="0" w:line="240" w:lineRule="auto"/>
        <w:ind w:left="36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080" w:hanging="36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(2)</w:t>
      </w:r>
      <w:r w:rsidRPr="00447551">
        <w:rPr>
          <w:rFonts w:ascii="Times New Roman" w:eastAsia="Times New Roman" w:hAnsi="Times New Roman" w:cs="Times New Roman"/>
          <w:color w:val="000000"/>
          <w:sz w:val="14"/>
          <w:szCs w:val="14"/>
        </w:rPr>
        <w:t>   </w:t>
      </w:r>
      <w:r w:rsidRPr="00447551">
        <w:rPr>
          <w:rFonts w:ascii="Times New Roman" w:eastAsia="Times New Roman" w:hAnsi="Times New Roman" w:cs="Times New Roman"/>
          <w:color w:val="000000"/>
          <w:sz w:val="14"/>
        </w:rPr>
        <w:t> </w:t>
      </w:r>
      <w:r w:rsidRPr="00447551">
        <w:rPr>
          <w:rFonts w:ascii="Times New Roman" w:eastAsia="Times New Roman" w:hAnsi="Times New Roman" w:cs="Times New Roman"/>
          <w:color w:val="000000"/>
        </w:rPr>
        <w:t>      Advocacy—Actions that promote an attest client’s interest.</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080" w:hanging="36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(3)</w:t>
      </w:r>
      <w:r w:rsidRPr="00447551">
        <w:rPr>
          <w:rFonts w:ascii="Times New Roman" w:eastAsia="Times New Roman" w:hAnsi="Times New Roman" w:cs="Times New Roman"/>
          <w:color w:val="000000"/>
          <w:sz w:val="14"/>
          <w:szCs w:val="14"/>
        </w:rPr>
        <w:t>   </w:t>
      </w:r>
      <w:r w:rsidRPr="00447551">
        <w:rPr>
          <w:rFonts w:ascii="Times New Roman" w:eastAsia="Times New Roman" w:hAnsi="Times New Roman" w:cs="Times New Roman"/>
          <w:color w:val="000000"/>
          <w:sz w:val="14"/>
        </w:rPr>
        <w:t> </w:t>
      </w:r>
      <w:r w:rsidRPr="00447551">
        <w:rPr>
          <w:rFonts w:ascii="Times New Roman" w:eastAsia="Times New Roman" w:hAnsi="Times New Roman" w:cs="Times New Roman"/>
          <w:color w:val="000000"/>
        </w:rPr>
        <w:t>      Adverse interest—Actions between the public accountant and the client that are in opposition.</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080" w:hanging="36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(4)</w:t>
      </w:r>
      <w:r w:rsidRPr="00447551">
        <w:rPr>
          <w:rFonts w:ascii="Times New Roman" w:eastAsia="Times New Roman" w:hAnsi="Times New Roman" w:cs="Times New Roman"/>
          <w:color w:val="000000"/>
          <w:sz w:val="14"/>
          <w:szCs w:val="14"/>
        </w:rPr>
        <w:t>   </w:t>
      </w:r>
      <w:r w:rsidRPr="00447551">
        <w:rPr>
          <w:rFonts w:ascii="Times New Roman" w:eastAsia="Times New Roman" w:hAnsi="Times New Roman" w:cs="Times New Roman"/>
          <w:color w:val="000000"/>
          <w:sz w:val="14"/>
        </w:rPr>
        <w:t> </w:t>
      </w:r>
      <w:r w:rsidRPr="00447551">
        <w:rPr>
          <w:rFonts w:ascii="Times New Roman" w:eastAsia="Times New Roman" w:hAnsi="Times New Roman" w:cs="Times New Roman"/>
          <w:color w:val="000000"/>
        </w:rPr>
        <w:t>      Familiarity—</w:t>
      </w:r>
      <w:proofErr w:type="gramStart"/>
      <w:r w:rsidRPr="00447551">
        <w:rPr>
          <w:rFonts w:ascii="Times New Roman" w:eastAsia="Times New Roman" w:hAnsi="Times New Roman" w:cs="Times New Roman"/>
          <w:color w:val="000000"/>
        </w:rPr>
        <w:t>Having</w:t>
      </w:r>
      <w:proofErr w:type="gramEnd"/>
      <w:r w:rsidRPr="00447551">
        <w:rPr>
          <w:rFonts w:ascii="Times New Roman" w:eastAsia="Times New Roman" w:hAnsi="Times New Roman" w:cs="Times New Roman"/>
          <w:color w:val="000000"/>
        </w:rPr>
        <w:t xml:space="preserve"> a close or longstanding relationship with client personnel or with            individuals who performed nonattest services.</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080" w:hanging="36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(5)</w:t>
      </w:r>
      <w:r w:rsidRPr="00447551">
        <w:rPr>
          <w:rFonts w:ascii="Times New Roman" w:eastAsia="Times New Roman" w:hAnsi="Times New Roman" w:cs="Times New Roman"/>
          <w:color w:val="000000"/>
          <w:sz w:val="14"/>
          <w:szCs w:val="14"/>
        </w:rPr>
        <w:t>   </w:t>
      </w:r>
      <w:r w:rsidRPr="00447551">
        <w:rPr>
          <w:rFonts w:ascii="Times New Roman" w:eastAsia="Times New Roman" w:hAnsi="Times New Roman" w:cs="Times New Roman"/>
          <w:color w:val="000000"/>
          <w:sz w:val="14"/>
        </w:rPr>
        <w:t> </w:t>
      </w:r>
      <w:r w:rsidRPr="00447551">
        <w:rPr>
          <w:rFonts w:ascii="Times New Roman" w:eastAsia="Times New Roman" w:hAnsi="Times New Roman" w:cs="Times New Roman"/>
          <w:color w:val="000000"/>
        </w:rPr>
        <w:t>      Undue influence—</w:t>
      </w:r>
      <w:proofErr w:type="gramStart"/>
      <w:r w:rsidRPr="00447551">
        <w:rPr>
          <w:rFonts w:ascii="Times New Roman" w:eastAsia="Times New Roman" w:hAnsi="Times New Roman" w:cs="Times New Roman"/>
          <w:color w:val="000000"/>
        </w:rPr>
        <w:t>An</w:t>
      </w:r>
      <w:proofErr w:type="gramEnd"/>
      <w:r w:rsidRPr="00447551">
        <w:rPr>
          <w:rFonts w:ascii="Times New Roman" w:eastAsia="Times New Roman" w:hAnsi="Times New Roman" w:cs="Times New Roman"/>
          <w:color w:val="000000"/>
        </w:rPr>
        <w:t xml:space="preserve"> attest client’s management coerces the accountant or exercises            excessive influence over the accountant.</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lastRenderedPageBreak/>
        <w:t> </w:t>
      </w:r>
    </w:p>
    <w:p w:rsidR="00447551" w:rsidRPr="00447551" w:rsidRDefault="00447551" w:rsidP="00447551">
      <w:pPr>
        <w:spacing w:after="0" w:line="240" w:lineRule="auto"/>
        <w:ind w:left="1080" w:hanging="36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(6)</w:t>
      </w:r>
      <w:r w:rsidRPr="00447551">
        <w:rPr>
          <w:rFonts w:ascii="Times New Roman" w:eastAsia="Times New Roman" w:hAnsi="Times New Roman" w:cs="Times New Roman"/>
          <w:color w:val="000000"/>
          <w:sz w:val="14"/>
          <w:szCs w:val="14"/>
        </w:rPr>
        <w:t>   </w:t>
      </w:r>
      <w:r w:rsidRPr="00447551">
        <w:rPr>
          <w:rFonts w:ascii="Times New Roman" w:eastAsia="Times New Roman" w:hAnsi="Times New Roman" w:cs="Times New Roman"/>
          <w:color w:val="000000"/>
          <w:sz w:val="14"/>
        </w:rPr>
        <w:t> </w:t>
      </w:r>
      <w:r w:rsidRPr="00447551">
        <w:rPr>
          <w:rFonts w:ascii="Times New Roman" w:eastAsia="Times New Roman" w:hAnsi="Times New Roman" w:cs="Times New Roman"/>
          <w:color w:val="000000"/>
        </w:rPr>
        <w:t>      Financial self-interest—</w:t>
      </w:r>
      <w:proofErr w:type="gramStart"/>
      <w:r w:rsidRPr="00447551">
        <w:rPr>
          <w:rFonts w:ascii="Times New Roman" w:eastAsia="Times New Roman" w:hAnsi="Times New Roman" w:cs="Times New Roman"/>
          <w:color w:val="000000"/>
        </w:rPr>
        <w:t>A</w:t>
      </w:r>
      <w:proofErr w:type="gramEnd"/>
      <w:r w:rsidRPr="00447551">
        <w:rPr>
          <w:rFonts w:ascii="Times New Roman" w:eastAsia="Times New Roman" w:hAnsi="Times New Roman" w:cs="Times New Roman"/>
          <w:color w:val="000000"/>
        </w:rPr>
        <w:t xml:space="preserve"> potential benefit to the accountant from a financial interest in, or     some other financial relationship with an attest client.</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080" w:hanging="36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(7)</w:t>
      </w:r>
      <w:r w:rsidRPr="00447551">
        <w:rPr>
          <w:rFonts w:ascii="Times New Roman" w:eastAsia="Times New Roman" w:hAnsi="Times New Roman" w:cs="Times New Roman"/>
          <w:color w:val="000000"/>
          <w:sz w:val="14"/>
          <w:szCs w:val="14"/>
        </w:rPr>
        <w:t>   </w:t>
      </w:r>
      <w:r w:rsidRPr="00447551">
        <w:rPr>
          <w:rFonts w:ascii="Times New Roman" w:eastAsia="Times New Roman" w:hAnsi="Times New Roman" w:cs="Times New Roman"/>
          <w:color w:val="000000"/>
          <w:sz w:val="14"/>
        </w:rPr>
        <w:t> </w:t>
      </w:r>
      <w:r w:rsidRPr="00447551">
        <w:rPr>
          <w:rFonts w:ascii="Times New Roman" w:eastAsia="Times New Roman" w:hAnsi="Times New Roman" w:cs="Times New Roman"/>
          <w:color w:val="000000"/>
        </w:rPr>
        <w:t>      Management participation—</w:t>
      </w:r>
      <w:proofErr w:type="gramStart"/>
      <w:r w:rsidRPr="00447551">
        <w:rPr>
          <w:rFonts w:ascii="Times New Roman" w:eastAsia="Times New Roman" w:hAnsi="Times New Roman" w:cs="Times New Roman"/>
          <w:color w:val="000000"/>
        </w:rPr>
        <w:t>The</w:t>
      </w:r>
      <w:proofErr w:type="gramEnd"/>
      <w:r w:rsidRPr="00447551">
        <w:rPr>
          <w:rFonts w:ascii="Times New Roman" w:eastAsia="Times New Roman" w:hAnsi="Times New Roman" w:cs="Times New Roman"/>
          <w:color w:val="000000"/>
        </w:rPr>
        <w:t xml:space="preserve"> accountant taking on the role of client management or          otherwise performing management functions.</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3–6       Rule 202 of the AICPA </w:t>
      </w:r>
      <w:r w:rsidRPr="00447551">
        <w:rPr>
          <w:rFonts w:ascii="Times New Roman" w:eastAsia="Times New Roman" w:hAnsi="Times New Roman" w:cs="Times New Roman"/>
          <w:i/>
          <w:iCs/>
          <w:color w:val="000000"/>
        </w:rPr>
        <w:t>Code of Professional Conduct</w:t>
      </w:r>
      <w:r w:rsidRPr="00447551">
        <w:rPr>
          <w:rFonts w:ascii="Times New Roman" w:eastAsia="Times New Roman" w:hAnsi="Times New Roman" w:cs="Times New Roman"/>
          <w:color w:val="000000"/>
        </w:rPr>
        <w:t> requires CPAs to adhere to appropriate professional standards in the performance of various professional services.  In the case of financial statement audits those standards are the generally accepted auditing standards.</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3–7       A CPA would have an indirect financial interest in an audit client if he or she had an investment in another entity that, in turn, had an interest in the audit client.  Examples might include (1) an investment in a mutual fund which owns stock of the audit client, (2) investment in another corporation which owns securities of the audit client, and (3) ownership of shares in a bank which has extended loans to the client company.</w:t>
      </w:r>
    </w:p>
    <w:p w:rsidR="00447551" w:rsidRPr="00447551" w:rsidRDefault="00447551" w:rsidP="00447551">
      <w:pPr>
        <w:spacing w:after="0" w:line="240" w:lineRule="auto"/>
        <w:ind w:left="720" w:firstLine="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The </w:t>
      </w:r>
      <w:r w:rsidRPr="00447551">
        <w:rPr>
          <w:rFonts w:ascii="Times New Roman" w:eastAsia="Times New Roman" w:hAnsi="Times New Roman" w:cs="Times New Roman"/>
          <w:i/>
          <w:iCs/>
          <w:color w:val="000000"/>
        </w:rPr>
        <w:t>Code of Professional Conduct</w:t>
      </w:r>
      <w:r w:rsidRPr="00447551">
        <w:rPr>
          <w:rFonts w:ascii="Times New Roman" w:eastAsia="Times New Roman" w:hAnsi="Times New Roman" w:cs="Times New Roman"/>
          <w:color w:val="000000"/>
        </w:rPr>
        <w:t> only prohibits those indirect financial interests in audit clients that are material in relation to the CPA's net worth.</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3–8       Bill Scott’s father is considered a “close relative.”  Since a close relative only impairs a CPA’s independence when that relative has a key position with the client, it is doubtful that Bill’s independence is impaired.  (If, however, Bill’s father were in a key position, Bill’s independence would be impaired and he should not participate on the attest engagement team.)  Accordingly, neither Scott's nor the firm's independence is likely to be impaired.  Nonetheless, it may well be a wise decision to keep Scott off of the audit.</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xml:space="preserve">3–9       </w:t>
      </w:r>
      <w:proofErr w:type="gramStart"/>
      <w:r w:rsidRPr="00447551">
        <w:rPr>
          <w:rFonts w:ascii="Times New Roman" w:eastAsia="Times New Roman" w:hAnsi="Times New Roman" w:cs="Times New Roman"/>
          <w:color w:val="000000"/>
        </w:rPr>
        <w:t>The</w:t>
      </w:r>
      <w:proofErr w:type="gramEnd"/>
      <w:r w:rsidRPr="00447551">
        <w:rPr>
          <w:rFonts w:ascii="Times New Roman" w:eastAsia="Times New Roman" w:hAnsi="Times New Roman" w:cs="Times New Roman"/>
          <w:color w:val="000000"/>
        </w:rPr>
        <w:t xml:space="preserve"> public accounting firm's independence would not be impaired as long as Greg Scott did not personally participate in the audit of this particular client.  Because Scott's father is a "close relative," Scott is not independent and must not become involved with the audit.  Once Scott rises to the position in which he becomes a partner of the public accounting firm, however, he must be transferred to an office that does not participate in this audit if the firm is to remain independent.</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xml:space="preserve">3–10     </w:t>
      </w:r>
      <w:proofErr w:type="gramStart"/>
      <w:r w:rsidRPr="00447551">
        <w:rPr>
          <w:rFonts w:ascii="Times New Roman" w:eastAsia="Times New Roman" w:hAnsi="Times New Roman" w:cs="Times New Roman"/>
          <w:color w:val="000000"/>
        </w:rPr>
        <w:t>The</w:t>
      </w:r>
      <w:proofErr w:type="gramEnd"/>
      <w:r w:rsidRPr="00447551">
        <w:rPr>
          <w:rFonts w:ascii="Times New Roman" w:eastAsia="Times New Roman" w:hAnsi="Times New Roman" w:cs="Times New Roman"/>
          <w:color w:val="000000"/>
        </w:rPr>
        <w:t xml:space="preserve"> signing of checks is a management function.  If Kole accepted the client's request to co-sign checks, she would violate the </w:t>
      </w:r>
      <w:r w:rsidRPr="00447551">
        <w:rPr>
          <w:rFonts w:ascii="Times New Roman" w:eastAsia="Times New Roman" w:hAnsi="Times New Roman" w:cs="Times New Roman"/>
          <w:i/>
          <w:iCs/>
          <w:color w:val="000000"/>
        </w:rPr>
        <w:t>Code of Professional Conduct</w:t>
      </w:r>
      <w:r w:rsidRPr="00447551">
        <w:rPr>
          <w:rFonts w:ascii="Times New Roman" w:eastAsia="Times New Roman" w:hAnsi="Times New Roman" w:cs="Times New Roman"/>
          <w:color w:val="000000"/>
        </w:rPr>
        <w:t> Rule of Conduct dealing with independence.  Kole would not be independent of Noyes Company for any period in which she signed checks.</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color w:val="000000"/>
        </w:rPr>
        <w:t>3–11     The Public Company Accounting Oversight Board (PCAOB)</w:t>
      </w:r>
      <w:proofErr w:type="gramEnd"/>
      <w:r w:rsidRPr="00447551">
        <w:rPr>
          <w:rFonts w:ascii="Times New Roman" w:eastAsia="Times New Roman" w:hAnsi="Times New Roman" w:cs="Times New Roman"/>
          <w:color w:val="000000"/>
        </w:rPr>
        <w:t xml:space="preserve"> has the responsibility to develop independence standards that apply to auditors of public companies.  The source of the PCAOB’s authority is the Sarbanes-Oxley Act of 2002, which established the board and its authority.</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xml:space="preserve">3–12     A covered </w:t>
      </w:r>
      <w:proofErr w:type="gramStart"/>
      <w:r w:rsidRPr="00447551">
        <w:rPr>
          <w:rFonts w:ascii="Times New Roman" w:eastAsia="Times New Roman" w:hAnsi="Times New Roman" w:cs="Times New Roman"/>
          <w:color w:val="000000"/>
        </w:rPr>
        <w:t>member</w:t>
      </w:r>
      <w:proofErr w:type="gramEnd"/>
      <w:r w:rsidRPr="00447551">
        <w:rPr>
          <w:rFonts w:ascii="Times New Roman" w:eastAsia="Times New Roman" w:hAnsi="Times New Roman" w:cs="Times New Roman"/>
          <w:color w:val="000000"/>
        </w:rPr>
        <w:t xml:space="preserve"> includes:</w:t>
      </w:r>
    </w:p>
    <w:p w:rsidR="00447551" w:rsidRPr="00447551" w:rsidRDefault="00447551" w:rsidP="00447551">
      <w:pPr>
        <w:spacing w:after="0" w:line="240" w:lineRule="auto"/>
        <w:ind w:left="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a.</w:t>
      </w:r>
      <w:r w:rsidRPr="00447551">
        <w:rPr>
          <w:rFonts w:ascii="Times New Roman" w:eastAsia="Times New Roman" w:hAnsi="Times New Roman" w:cs="Times New Roman"/>
          <w:color w:val="000000"/>
        </w:rPr>
        <w:t>         An individual on the attest engagement team;</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b.</w:t>
      </w:r>
      <w:r w:rsidRPr="00447551">
        <w:rPr>
          <w:rFonts w:ascii="Times New Roman" w:eastAsia="Times New Roman" w:hAnsi="Times New Roman" w:cs="Times New Roman"/>
          <w:color w:val="000000"/>
        </w:rPr>
        <w:t>         An individual in a position to influence the attest engagement;</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c.</w:t>
      </w:r>
      <w:r w:rsidRPr="00447551">
        <w:rPr>
          <w:rFonts w:ascii="Times New Roman" w:eastAsia="Times New Roman" w:hAnsi="Times New Roman" w:cs="Times New Roman"/>
          <w:color w:val="000000"/>
        </w:rPr>
        <w:t>          A partner or manager who provides nonattest services to the attest client beginning once he or she provides ten hours of nonattest services to the client within any fiscal year and ending on the later of the date (1) the firm signs the report on the financial statements for the fiscal year during which those services were provided, or (2) he or she no longer expects to provide ten or more hours of nonattest services to the attest client on a recurring basis;</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lastRenderedPageBreak/>
        <w:t>d.</w:t>
      </w:r>
      <w:r w:rsidRPr="00447551">
        <w:rPr>
          <w:rFonts w:ascii="Times New Roman" w:eastAsia="Times New Roman" w:hAnsi="Times New Roman" w:cs="Times New Roman"/>
          <w:color w:val="000000"/>
        </w:rPr>
        <w:t>         A partner in the office in which the lead attest engagement partner primarily practices in connection with the attest engagement;</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e.</w:t>
      </w:r>
      <w:r w:rsidRPr="00447551">
        <w:rPr>
          <w:rFonts w:ascii="Times New Roman" w:eastAsia="Times New Roman" w:hAnsi="Times New Roman" w:cs="Times New Roman"/>
          <w:color w:val="000000"/>
        </w:rPr>
        <w:t>          A firm, including the firm's employee benefit plans; or</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f.</w:t>
      </w:r>
      <w:r w:rsidRPr="00447551">
        <w:rPr>
          <w:rFonts w:ascii="Times New Roman" w:eastAsia="Times New Roman" w:hAnsi="Times New Roman" w:cs="Times New Roman"/>
          <w:color w:val="000000"/>
        </w:rPr>
        <w:t>          An entity whose operating, financial, or accounting policies can be controlled (as defined by GAAP for consolidation purposes [i.e., generally 20%] by any of the individuals or entities described in (</w:t>
      </w:r>
      <w:r w:rsidRPr="00447551">
        <w:rPr>
          <w:rFonts w:ascii="Times New Roman" w:eastAsia="Times New Roman" w:hAnsi="Times New Roman" w:cs="Times New Roman"/>
          <w:i/>
          <w:iCs/>
          <w:color w:val="000000"/>
        </w:rPr>
        <w:t>a</w:t>
      </w:r>
      <w:r w:rsidRPr="00447551">
        <w:rPr>
          <w:rFonts w:ascii="Times New Roman" w:eastAsia="Times New Roman" w:hAnsi="Times New Roman" w:cs="Times New Roman"/>
          <w:color w:val="000000"/>
        </w:rPr>
        <w:t>) through (</w:t>
      </w:r>
      <w:r w:rsidRPr="00447551">
        <w:rPr>
          <w:rFonts w:ascii="Times New Roman" w:eastAsia="Times New Roman" w:hAnsi="Times New Roman" w:cs="Times New Roman"/>
          <w:i/>
          <w:iCs/>
          <w:color w:val="000000"/>
        </w:rPr>
        <w:t>e</w:t>
      </w:r>
      <w:r w:rsidRPr="00447551">
        <w:rPr>
          <w:rFonts w:ascii="Times New Roman" w:eastAsia="Times New Roman" w:hAnsi="Times New Roman" w:cs="Times New Roman"/>
          <w:color w:val="000000"/>
        </w:rPr>
        <w:t>) or by two or more such individuals or entities if they act together.</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xml:space="preserve">Only Part </w:t>
      </w:r>
      <w:proofErr w:type="gramStart"/>
      <w:r w:rsidRPr="00447551">
        <w:rPr>
          <w:rFonts w:ascii="Times New Roman" w:eastAsia="Times New Roman" w:hAnsi="Times New Roman" w:cs="Times New Roman"/>
          <w:color w:val="000000"/>
        </w:rPr>
        <w:t>A</w:t>
      </w:r>
      <w:proofErr w:type="gramEnd"/>
      <w:r w:rsidRPr="00447551">
        <w:rPr>
          <w:rFonts w:ascii="Times New Roman" w:eastAsia="Times New Roman" w:hAnsi="Times New Roman" w:cs="Times New Roman"/>
          <w:color w:val="000000"/>
        </w:rPr>
        <w:t xml:space="preserve"> of Interpretation 101-1 relies upon the “covered member” concept.  Parts B and C include all partners or professional employees with such interests.</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color w:val="000000"/>
        </w:rPr>
        <w:t>3–13     The Sarbanes-Oxley Act of 2002 (as interpreted by SEC regulations)</w:t>
      </w:r>
      <w:proofErr w:type="gramEnd"/>
      <w:r w:rsidRPr="00447551">
        <w:rPr>
          <w:rFonts w:ascii="Times New Roman" w:eastAsia="Times New Roman" w:hAnsi="Times New Roman" w:cs="Times New Roman"/>
          <w:color w:val="000000"/>
        </w:rPr>
        <w:t xml:space="preserve"> prohibits CPA firms from performing bookkeeping services for a public company audit client.  However, regulations of the SEC have prohibited these services for many years.  The AICPA does not view such services as impairing independence.  Thus, whether a CPA firm is independent of a client for </w:t>
      </w:r>
      <w:proofErr w:type="gramStart"/>
      <w:r w:rsidRPr="00447551">
        <w:rPr>
          <w:rFonts w:ascii="Times New Roman" w:eastAsia="Times New Roman" w:hAnsi="Times New Roman" w:cs="Times New Roman"/>
          <w:color w:val="000000"/>
        </w:rPr>
        <w:t>which</w:t>
      </w:r>
      <w:proofErr w:type="gramEnd"/>
      <w:r w:rsidRPr="00447551">
        <w:rPr>
          <w:rFonts w:ascii="Times New Roman" w:eastAsia="Times New Roman" w:hAnsi="Times New Roman" w:cs="Times New Roman"/>
          <w:color w:val="000000"/>
        </w:rPr>
        <w:t xml:space="preserve"> it renders accounting services depends upon whether the client falls under SEC jurisdiction (is publicly owned).</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keepNext/>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xml:space="preserve">3–14     </w:t>
      </w:r>
      <w:proofErr w:type="gramStart"/>
      <w:r w:rsidRPr="00447551">
        <w:rPr>
          <w:rFonts w:ascii="Times New Roman" w:eastAsia="Times New Roman" w:hAnsi="Times New Roman" w:cs="Times New Roman"/>
          <w:color w:val="000000"/>
        </w:rPr>
        <w:t>The</w:t>
      </w:r>
      <w:proofErr w:type="gramEnd"/>
      <w:r w:rsidRPr="00447551">
        <w:rPr>
          <w:rFonts w:ascii="Times New Roman" w:eastAsia="Times New Roman" w:hAnsi="Times New Roman" w:cs="Times New Roman"/>
          <w:color w:val="000000"/>
        </w:rPr>
        <w:t xml:space="preserve"> authoritative bodies, and their standards are as follows:</w:t>
      </w:r>
    </w:p>
    <w:p w:rsidR="00447551" w:rsidRPr="00447551" w:rsidRDefault="00447551" w:rsidP="00447551">
      <w:pPr>
        <w:keepNext/>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tbl>
      <w:tblPr>
        <w:tblW w:w="0" w:type="auto"/>
        <w:tblInd w:w="872" w:type="dxa"/>
        <w:tblCellMar>
          <w:left w:w="0" w:type="dxa"/>
          <w:right w:w="0" w:type="dxa"/>
        </w:tblCellMar>
        <w:tblLook w:val="04A0"/>
      </w:tblPr>
      <w:tblGrid>
        <w:gridCol w:w="4052"/>
        <w:gridCol w:w="919"/>
        <w:gridCol w:w="3517"/>
      </w:tblGrid>
      <w:tr w:rsidR="00447551" w:rsidRPr="00447551" w:rsidTr="00447551">
        <w:tc>
          <w:tcPr>
            <w:tcW w:w="4176" w:type="dxa"/>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            </w:t>
            </w:r>
            <w:r w:rsidRPr="00447551">
              <w:rPr>
                <w:rFonts w:ascii="Times New Roman" w:eastAsia="Times New Roman" w:hAnsi="Times New Roman" w:cs="Times New Roman"/>
                <w:u w:val="single"/>
              </w:rPr>
              <w:t>Technical Body</w:t>
            </w:r>
          </w:p>
        </w:tc>
        <w:tc>
          <w:tcPr>
            <w:tcW w:w="360" w:type="dxa"/>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 </w:t>
            </w:r>
          </w:p>
        </w:tc>
        <w:tc>
          <w:tcPr>
            <w:tcW w:w="3600" w:type="dxa"/>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            </w:t>
            </w:r>
            <w:r w:rsidRPr="00447551">
              <w:rPr>
                <w:rFonts w:ascii="Times New Roman" w:eastAsia="Times New Roman" w:hAnsi="Times New Roman" w:cs="Times New Roman"/>
                <w:u w:val="single"/>
              </w:rPr>
              <w:t>Authoritative Standards</w:t>
            </w:r>
          </w:p>
        </w:tc>
      </w:tr>
      <w:tr w:rsidR="00447551" w:rsidRPr="00447551" w:rsidTr="00447551">
        <w:tc>
          <w:tcPr>
            <w:tcW w:w="4176" w:type="dxa"/>
            <w:hideMark/>
          </w:tcPr>
          <w:p w:rsidR="00447551" w:rsidRPr="00447551" w:rsidRDefault="00447551" w:rsidP="00447551">
            <w:pPr>
              <w:spacing w:after="0" w:line="240" w:lineRule="auto"/>
              <w:ind w:left="864"/>
              <w:rPr>
                <w:rFonts w:ascii="Courier" w:eastAsia="Times New Roman" w:hAnsi="Courier" w:cs="Times New Roman"/>
                <w:sz w:val="24"/>
                <w:szCs w:val="24"/>
              </w:rPr>
            </w:pPr>
            <w:r w:rsidRPr="00447551">
              <w:rPr>
                <w:rFonts w:ascii="Times New Roman" w:eastAsia="Times New Roman" w:hAnsi="Times New Roman" w:cs="Times New Roman"/>
              </w:rPr>
              <w:t> </w:t>
            </w:r>
          </w:p>
        </w:tc>
        <w:tc>
          <w:tcPr>
            <w:tcW w:w="360" w:type="dxa"/>
            <w:hideMark/>
          </w:tcPr>
          <w:p w:rsidR="00447551" w:rsidRPr="00447551" w:rsidRDefault="00447551" w:rsidP="00447551">
            <w:pPr>
              <w:spacing w:after="0" w:line="240" w:lineRule="auto"/>
              <w:ind w:left="864"/>
              <w:rPr>
                <w:rFonts w:ascii="Courier" w:eastAsia="Times New Roman" w:hAnsi="Courier" w:cs="Times New Roman"/>
                <w:sz w:val="24"/>
                <w:szCs w:val="24"/>
              </w:rPr>
            </w:pPr>
            <w:r w:rsidRPr="00447551">
              <w:rPr>
                <w:rFonts w:ascii="Times New Roman" w:eastAsia="Times New Roman" w:hAnsi="Times New Roman" w:cs="Times New Roman"/>
              </w:rPr>
              <w:t> </w:t>
            </w:r>
          </w:p>
        </w:tc>
        <w:tc>
          <w:tcPr>
            <w:tcW w:w="3600" w:type="dxa"/>
            <w:hideMark/>
          </w:tcPr>
          <w:p w:rsidR="00447551" w:rsidRPr="00447551" w:rsidRDefault="00447551" w:rsidP="00447551">
            <w:pPr>
              <w:spacing w:after="0" w:line="240" w:lineRule="auto"/>
              <w:ind w:left="864"/>
              <w:rPr>
                <w:rFonts w:ascii="Courier" w:eastAsia="Times New Roman" w:hAnsi="Courier" w:cs="Times New Roman"/>
                <w:sz w:val="24"/>
                <w:szCs w:val="24"/>
              </w:rPr>
            </w:pPr>
            <w:r w:rsidRPr="00447551">
              <w:rPr>
                <w:rFonts w:ascii="Times New Roman" w:eastAsia="Times New Roman" w:hAnsi="Times New Roman" w:cs="Times New Roman"/>
              </w:rPr>
              <w:t> </w:t>
            </w:r>
          </w:p>
        </w:tc>
      </w:tr>
      <w:tr w:rsidR="00447551" w:rsidRPr="00447551" w:rsidTr="00447551">
        <w:tc>
          <w:tcPr>
            <w:tcW w:w="4176" w:type="dxa"/>
            <w:hideMark/>
          </w:tcPr>
          <w:p w:rsidR="00447551" w:rsidRPr="00447551" w:rsidRDefault="00447551" w:rsidP="00447551">
            <w:pPr>
              <w:spacing w:after="0" w:line="240" w:lineRule="auto"/>
              <w:ind w:left="441" w:hanging="441"/>
              <w:rPr>
                <w:rFonts w:ascii="Courier" w:eastAsia="Times New Roman" w:hAnsi="Courier" w:cs="Times New Roman"/>
                <w:sz w:val="24"/>
                <w:szCs w:val="24"/>
              </w:rPr>
            </w:pPr>
            <w:r w:rsidRPr="00447551">
              <w:rPr>
                <w:rFonts w:ascii="Times New Roman" w:eastAsia="Times New Roman" w:hAnsi="Times New Roman" w:cs="Times New Roman"/>
              </w:rPr>
              <w:t>1.         Auditing Standards Board (ASB)</w:t>
            </w:r>
          </w:p>
        </w:tc>
        <w:tc>
          <w:tcPr>
            <w:tcW w:w="360" w:type="dxa"/>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 </w:t>
            </w:r>
          </w:p>
        </w:tc>
        <w:tc>
          <w:tcPr>
            <w:tcW w:w="3600" w:type="dxa"/>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i/>
                <w:iCs/>
              </w:rPr>
              <w:t>Statements on Auditing Standards</w:t>
            </w:r>
          </w:p>
        </w:tc>
      </w:tr>
    </w:tbl>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tbl>
      <w:tblPr>
        <w:tblW w:w="0" w:type="auto"/>
        <w:tblInd w:w="872" w:type="dxa"/>
        <w:tblCellMar>
          <w:left w:w="0" w:type="dxa"/>
          <w:right w:w="0" w:type="dxa"/>
        </w:tblCellMar>
        <w:tblLook w:val="04A0"/>
      </w:tblPr>
      <w:tblGrid>
        <w:gridCol w:w="4176"/>
        <w:gridCol w:w="360"/>
        <w:gridCol w:w="3600"/>
      </w:tblGrid>
      <w:tr w:rsidR="00447551" w:rsidRPr="00447551" w:rsidTr="00447551">
        <w:tc>
          <w:tcPr>
            <w:tcW w:w="4176" w:type="dxa"/>
            <w:hideMark/>
          </w:tcPr>
          <w:p w:rsidR="00447551" w:rsidRPr="00447551" w:rsidRDefault="00447551" w:rsidP="00447551">
            <w:pPr>
              <w:spacing w:after="0" w:line="240" w:lineRule="auto"/>
              <w:ind w:left="720" w:hanging="720"/>
              <w:rPr>
                <w:rFonts w:ascii="Courier" w:eastAsia="Times New Roman" w:hAnsi="Courier" w:cs="Times New Roman"/>
                <w:sz w:val="24"/>
                <w:szCs w:val="24"/>
              </w:rPr>
            </w:pPr>
            <w:r w:rsidRPr="00447551">
              <w:rPr>
                <w:rFonts w:ascii="Times New Roman" w:eastAsia="Times New Roman" w:hAnsi="Times New Roman" w:cs="Times New Roman"/>
              </w:rPr>
              <w:t>2.         Management Consulting Services Executive Committee (MCSEC)</w:t>
            </w:r>
          </w:p>
        </w:tc>
        <w:tc>
          <w:tcPr>
            <w:tcW w:w="360" w:type="dxa"/>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 </w:t>
            </w:r>
          </w:p>
        </w:tc>
        <w:tc>
          <w:tcPr>
            <w:tcW w:w="3600" w:type="dxa"/>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i/>
                <w:iCs/>
              </w:rPr>
              <w:t>Statements on Standards for Consulting Services</w:t>
            </w:r>
          </w:p>
        </w:tc>
      </w:tr>
    </w:tbl>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tbl>
      <w:tblPr>
        <w:tblW w:w="0" w:type="auto"/>
        <w:tblInd w:w="872" w:type="dxa"/>
        <w:tblCellMar>
          <w:left w:w="0" w:type="dxa"/>
          <w:right w:w="0" w:type="dxa"/>
        </w:tblCellMar>
        <w:tblLook w:val="04A0"/>
      </w:tblPr>
      <w:tblGrid>
        <w:gridCol w:w="4058"/>
        <w:gridCol w:w="919"/>
        <w:gridCol w:w="3511"/>
      </w:tblGrid>
      <w:tr w:rsidR="00447551" w:rsidRPr="00447551" w:rsidTr="00447551">
        <w:tc>
          <w:tcPr>
            <w:tcW w:w="4176" w:type="dxa"/>
            <w:hideMark/>
          </w:tcPr>
          <w:p w:rsidR="00447551" w:rsidRPr="00447551" w:rsidRDefault="00447551" w:rsidP="00447551">
            <w:pPr>
              <w:spacing w:after="0" w:line="240" w:lineRule="auto"/>
              <w:ind w:left="720" w:hanging="720"/>
              <w:rPr>
                <w:rFonts w:ascii="Courier" w:eastAsia="Times New Roman" w:hAnsi="Courier" w:cs="Times New Roman"/>
                <w:sz w:val="24"/>
                <w:szCs w:val="24"/>
              </w:rPr>
            </w:pPr>
            <w:r w:rsidRPr="00447551">
              <w:rPr>
                <w:rFonts w:ascii="Times New Roman" w:eastAsia="Times New Roman" w:hAnsi="Times New Roman" w:cs="Times New Roman"/>
              </w:rPr>
              <w:t>3.         Accounting and Review Services Committee (ARSC)</w:t>
            </w:r>
          </w:p>
        </w:tc>
        <w:tc>
          <w:tcPr>
            <w:tcW w:w="360" w:type="dxa"/>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 </w:t>
            </w:r>
          </w:p>
        </w:tc>
        <w:tc>
          <w:tcPr>
            <w:tcW w:w="3600" w:type="dxa"/>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i/>
                <w:iCs/>
              </w:rPr>
              <w:t>Statements on Standards for Accounting</w:t>
            </w:r>
            <w:r w:rsidRPr="00447551">
              <w:rPr>
                <w:rFonts w:ascii="Times New Roman" w:eastAsia="Times New Roman" w:hAnsi="Times New Roman" w:cs="Times New Roman"/>
              </w:rPr>
              <w:t> </w:t>
            </w:r>
            <w:r w:rsidRPr="00447551">
              <w:rPr>
                <w:rFonts w:ascii="Times New Roman" w:eastAsia="Times New Roman" w:hAnsi="Times New Roman" w:cs="Times New Roman"/>
                <w:i/>
                <w:iCs/>
              </w:rPr>
              <w:t>and Review Services</w:t>
            </w:r>
          </w:p>
        </w:tc>
      </w:tr>
      <w:tr w:rsidR="00447551" w:rsidRPr="00447551" w:rsidTr="00447551">
        <w:tc>
          <w:tcPr>
            <w:tcW w:w="4176" w:type="dxa"/>
            <w:hideMark/>
          </w:tcPr>
          <w:p w:rsidR="00447551" w:rsidRPr="00447551" w:rsidRDefault="00447551" w:rsidP="00447551">
            <w:pPr>
              <w:spacing w:after="0" w:line="240" w:lineRule="auto"/>
              <w:ind w:left="864"/>
              <w:rPr>
                <w:rFonts w:ascii="Courier" w:eastAsia="Times New Roman" w:hAnsi="Courier" w:cs="Times New Roman"/>
                <w:sz w:val="24"/>
                <w:szCs w:val="24"/>
              </w:rPr>
            </w:pPr>
            <w:r w:rsidRPr="00447551">
              <w:rPr>
                <w:rFonts w:ascii="Times New Roman" w:eastAsia="Times New Roman" w:hAnsi="Times New Roman" w:cs="Times New Roman"/>
              </w:rPr>
              <w:t> </w:t>
            </w:r>
          </w:p>
        </w:tc>
        <w:tc>
          <w:tcPr>
            <w:tcW w:w="360" w:type="dxa"/>
            <w:hideMark/>
          </w:tcPr>
          <w:p w:rsidR="00447551" w:rsidRPr="00447551" w:rsidRDefault="00447551" w:rsidP="00447551">
            <w:pPr>
              <w:spacing w:after="0" w:line="240" w:lineRule="auto"/>
              <w:ind w:left="864"/>
              <w:rPr>
                <w:rFonts w:ascii="Courier" w:eastAsia="Times New Roman" w:hAnsi="Courier" w:cs="Times New Roman"/>
                <w:sz w:val="24"/>
                <w:szCs w:val="24"/>
              </w:rPr>
            </w:pPr>
            <w:r w:rsidRPr="00447551">
              <w:rPr>
                <w:rFonts w:ascii="Times New Roman" w:eastAsia="Times New Roman" w:hAnsi="Times New Roman" w:cs="Times New Roman"/>
              </w:rPr>
              <w:t> </w:t>
            </w:r>
          </w:p>
        </w:tc>
        <w:tc>
          <w:tcPr>
            <w:tcW w:w="3600" w:type="dxa"/>
            <w:hideMark/>
          </w:tcPr>
          <w:p w:rsidR="00447551" w:rsidRPr="00447551" w:rsidRDefault="00447551" w:rsidP="00447551">
            <w:pPr>
              <w:spacing w:after="0" w:line="240" w:lineRule="auto"/>
              <w:ind w:left="864"/>
              <w:rPr>
                <w:rFonts w:ascii="Courier" w:eastAsia="Times New Roman" w:hAnsi="Courier" w:cs="Times New Roman"/>
                <w:sz w:val="24"/>
                <w:szCs w:val="24"/>
              </w:rPr>
            </w:pPr>
            <w:r w:rsidRPr="00447551">
              <w:rPr>
                <w:rFonts w:ascii="Times New Roman" w:eastAsia="Times New Roman" w:hAnsi="Times New Roman" w:cs="Times New Roman"/>
              </w:rPr>
              <w:t> </w:t>
            </w:r>
          </w:p>
        </w:tc>
      </w:tr>
      <w:tr w:rsidR="00447551" w:rsidRPr="00447551" w:rsidTr="00447551">
        <w:tc>
          <w:tcPr>
            <w:tcW w:w="4176" w:type="dxa"/>
            <w:hideMark/>
          </w:tcPr>
          <w:p w:rsidR="00447551" w:rsidRPr="00447551" w:rsidRDefault="00447551" w:rsidP="00447551">
            <w:pPr>
              <w:spacing w:after="0" w:line="240" w:lineRule="auto"/>
              <w:ind w:left="441" w:hanging="441"/>
              <w:rPr>
                <w:rFonts w:ascii="Courier" w:eastAsia="Times New Roman" w:hAnsi="Courier" w:cs="Times New Roman"/>
                <w:sz w:val="24"/>
                <w:szCs w:val="24"/>
              </w:rPr>
            </w:pPr>
            <w:r w:rsidRPr="00447551">
              <w:rPr>
                <w:rFonts w:ascii="Times New Roman" w:eastAsia="Times New Roman" w:hAnsi="Times New Roman" w:cs="Times New Roman"/>
              </w:rPr>
              <w:t>4.         ASB, MCSEC, and ARSC</w:t>
            </w:r>
          </w:p>
        </w:tc>
        <w:tc>
          <w:tcPr>
            <w:tcW w:w="360" w:type="dxa"/>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 </w:t>
            </w:r>
          </w:p>
        </w:tc>
        <w:tc>
          <w:tcPr>
            <w:tcW w:w="3600" w:type="dxa"/>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i/>
                <w:iCs/>
              </w:rPr>
              <w:t>Statements on Standards for Attestation Engagements</w:t>
            </w:r>
          </w:p>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 </w:t>
            </w:r>
          </w:p>
        </w:tc>
      </w:tr>
      <w:tr w:rsidR="00447551" w:rsidRPr="00447551" w:rsidTr="00447551">
        <w:tc>
          <w:tcPr>
            <w:tcW w:w="4176" w:type="dxa"/>
            <w:hideMark/>
          </w:tcPr>
          <w:p w:rsidR="00447551" w:rsidRPr="00447551" w:rsidRDefault="00447551" w:rsidP="00447551">
            <w:pPr>
              <w:spacing w:after="0" w:line="240" w:lineRule="auto"/>
              <w:ind w:left="441" w:hanging="441"/>
              <w:rPr>
                <w:rFonts w:ascii="Courier" w:eastAsia="Times New Roman" w:hAnsi="Courier" w:cs="Times New Roman"/>
                <w:sz w:val="24"/>
                <w:szCs w:val="24"/>
              </w:rPr>
            </w:pPr>
            <w:r w:rsidRPr="00447551">
              <w:rPr>
                <w:rFonts w:ascii="Times New Roman" w:eastAsia="Times New Roman" w:hAnsi="Times New Roman" w:cs="Times New Roman"/>
              </w:rPr>
              <w:t>5.         Financial Accounting Standards Board</w:t>
            </w:r>
          </w:p>
        </w:tc>
        <w:tc>
          <w:tcPr>
            <w:tcW w:w="360" w:type="dxa"/>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 </w:t>
            </w:r>
          </w:p>
        </w:tc>
        <w:tc>
          <w:tcPr>
            <w:tcW w:w="3600" w:type="dxa"/>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i/>
                <w:iCs/>
              </w:rPr>
              <w:t>Statements of Financial Accounting Standards </w:t>
            </w:r>
            <w:r w:rsidRPr="00447551">
              <w:rPr>
                <w:rFonts w:ascii="Times New Roman" w:eastAsia="Times New Roman" w:hAnsi="Times New Roman" w:cs="Times New Roman"/>
              </w:rPr>
              <w:t>and related Interpretations</w:t>
            </w:r>
          </w:p>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 </w:t>
            </w:r>
          </w:p>
        </w:tc>
      </w:tr>
      <w:tr w:rsidR="00447551" w:rsidRPr="00447551" w:rsidTr="00447551">
        <w:tc>
          <w:tcPr>
            <w:tcW w:w="4176" w:type="dxa"/>
            <w:hideMark/>
          </w:tcPr>
          <w:p w:rsidR="00447551" w:rsidRPr="00447551" w:rsidRDefault="00447551" w:rsidP="00447551">
            <w:pPr>
              <w:spacing w:after="0" w:line="240" w:lineRule="auto"/>
              <w:ind w:left="720" w:hanging="720"/>
              <w:rPr>
                <w:rFonts w:ascii="Courier" w:eastAsia="Times New Roman" w:hAnsi="Courier" w:cs="Times New Roman"/>
                <w:sz w:val="24"/>
                <w:szCs w:val="24"/>
              </w:rPr>
            </w:pPr>
            <w:r w:rsidRPr="00447551">
              <w:rPr>
                <w:rFonts w:ascii="Times New Roman" w:eastAsia="Times New Roman" w:hAnsi="Times New Roman" w:cs="Times New Roman"/>
              </w:rPr>
              <w:t>6.         Governmental Accounting Standards Board</w:t>
            </w:r>
          </w:p>
        </w:tc>
        <w:tc>
          <w:tcPr>
            <w:tcW w:w="360" w:type="dxa"/>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 </w:t>
            </w:r>
          </w:p>
        </w:tc>
        <w:tc>
          <w:tcPr>
            <w:tcW w:w="3600" w:type="dxa"/>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i/>
                <w:iCs/>
              </w:rPr>
              <w:t>Statements of Governmental Accounting Standards </w:t>
            </w:r>
            <w:r w:rsidRPr="00447551">
              <w:rPr>
                <w:rFonts w:ascii="Times New Roman" w:eastAsia="Times New Roman" w:hAnsi="Times New Roman" w:cs="Times New Roman"/>
              </w:rPr>
              <w:t>and related Interpretations</w:t>
            </w:r>
          </w:p>
        </w:tc>
      </w:tr>
      <w:tr w:rsidR="00447551" w:rsidRPr="00447551" w:rsidTr="00447551">
        <w:tc>
          <w:tcPr>
            <w:tcW w:w="4176" w:type="dxa"/>
            <w:hideMark/>
          </w:tcPr>
          <w:p w:rsidR="00447551" w:rsidRPr="00447551" w:rsidRDefault="00447551" w:rsidP="00447551">
            <w:pPr>
              <w:spacing w:after="0" w:line="240" w:lineRule="auto"/>
              <w:ind w:left="864"/>
              <w:rPr>
                <w:rFonts w:ascii="Courier" w:eastAsia="Times New Roman" w:hAnsi="Courier" w:cs="Times New Roman"/>
                <w:sz w:val="24"/>
                <w:szCs w:val="24"/>
              </w:rPr>
            </w:pPr>
            <w:r w:rsidRPr="00447551">
              <w:rPr>
                <w:rFonts w:ascii="Times New Roman" w:eastAsia="Times New Roman" w:hAnsi="Times New Roman" w:cs="Times New Roman"/>
              </w:rPr>
              <w:t> </w:t>
            </w:r>
          </w:p>
        </w:tc>
        <w:tc>
          <w:tcPr>
            <w:tcW w:w="360" w:type="dxa"/>
            <w:hideMark/>
          </w:tcPr>
          <w:p w:rsidR="00447551" w:rsidRPr="00447551" w:rsidRDefault="00447551" w:rsidP="00447551">
            <w:pPr>
              <w:spacing w:after="0" w:line="240" w:lineRule="auto"/>
              <w:ind w:left="864"/>
              <w:rPr>
                <w:rFonts w:ascii="Courier" w:eastAsia="Times New Roman" w:hAnsi="Courier" w:cs="Times New Roman"/>
                <w:sz w:val="24"/>
                <w:szCs w:val="24"/>
              </w:rPr>
            </w:pPr>
            <w:r w:rsidRPr="00447551">
              <w:rPr>
                <w:rFonts w:ascii="Times New Roman" w:eastAsia="Times New Roman" w:hAnsi="Times New Roman" w:cs="Times New Roman"/>
              </w:rPr>
              <w:t> </w:t>
            </w:r>
          </w:p>
        </w:tc>
        <w:tc>
          <w:tcPr>
            <w:tcW w:w="3600" w:type="dxa"/>
            <w:hideMark/>
          </w:tcPr>
          <w:p w:rsidR="00447551" w:rsidRPr="00447551" w:rsidRDefault="00447551" w:rsidP="00447551">
            <w:pPr>
              <w:spacing w:after="0" w:line="240" w:lineRule="auto"/>
              <w:ind w:left="864"/>
              <w:rPr>
                <w:rFonts w:ascii="Courier" w:eastAsia="Times New Roman" w:hAnsi="Courier" w:cs="Times New Roman"/>
                <w:sz w:val="24"/>
                <w:szCs w:val="24"/>
              </w:rPr>
            </w:pPr>
            <w:r w:rsidRPr="00447551">
              <w:rPr>
                <w:rFonts w:ascii="Times New Roman" w:eastAsia="Times New Roman" w:hAnsi="Times New Roman" w:cs="Times New Roman"/>
              </w:rPr>
              <w:t> </w:t>
            </w:r>
          </w:p>
        </w:tc>
      </w:tr>
    </w:tbl>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xml:space="preserve">3–15     </w:t>
      </w:r>
      <w:proofErr w:type="gramStart"/>
      <w:r w:rsidRPr="00447551">
        <w:rPr>
          <w:rFonts w:ascii="Times New Roman" w:eastAsia="Times New Roman" w:hAnsi="Times New Roman" w:cs="Times New Roman"/>
          <w:color w:val="000000"/>
        </w:rPr>
        <w:t>The</w:t>
      </w:r>
      <w:proofErr w:type="gramEnd"/>
      <w:r w:rsidRPr="00447551">
        <w:rPr>
          <w:rFonts w:ascii="Times New Roman" w:eastAsia="Times New Roman" w:hAnsi="Times New Roman" w:cs="Times New Roman"/>
          <w:color w:val="000000"/>
        </w:rPr>
        <w:t xml:space="preserve"> statement is incorrect because while the CPA may provide consulting services for an attest client, the CPA should not perform consulting services that place him or her in a decision-making position.  Also, only such services that will allow the CPA to maintain integrity and objectivity may be accepted.  Finally, the Sarbanes-Oxley Act of 2002 and SEC regulations put additional restrictions on the types of services that may be provided by a CPA firm to a public company audit client.</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3–16     A CPA may not perform professional services on a contingent fee basis in the following circumstances:</w:t>
      </w:r>
    </w:p>
    <w:p w:rsidR="00447551" w:rsidRPr="00447551" w:rsidRDefault="00447551" w:rsidP="00447551">
      <w:pPr>
        <w:spacing w:after="0" w:line="240" w:lineRule="auto"/>
        <w:ind w:firstLine="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firstLine="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lastRenderedPageBreak/>
        <w:t>a.</w:t>
      </w:r>
      <w:r w:rsidRPr="00447551">
        <w:rPr>
          <w:rFonts w:ascii="Times New Roman" w:eastAsia="Times New Roman" w:hAnsi="Times New Roman" w:cs="Times New Roman"/>
          <w:color w:val="000000"/>
        </w:rPr>
        <w:t>         The services involve the preparation or amendment of tax returns.</w:t>
      </w:r>
    </w:p>
    <w:p w:rsidR="00447551" w:rsidRPr="00447551" w:rsidRDefault="00447551" w:rsidP="00447551">
      <w:pPr>
        <w:spacing w:after="0" w:line="240" w:lineRule="auto"/>
        <w:ind w:left="1440" w:hanging="720"/>
        <w:rPr>
          <w:rFonts w:ascii="Times New Roman" w:eastAsia="Times New Roman" w:hAnsi="Times New Roman" w:cs="Times New Roman"/>
          <w:color w:val="000000"/>
        </w:rPr>
      </w:pPr>
      <w:r w:rsidRPr="00447551">
        <w:rPr>
          <w:rFonts w:ascii="Times New Roman" w:eastAsia="Times New Roman" w:hAnsi="Times New Roman" w:cs="Times New Roman"/>
          <w:i/>
          <w:iCs/>
          <w:color w:val="000000"/>
        </w:rPr>
        <w:t>b.</w:t>
      </w:r>
      <w:r w:rsidRPr="00447551">
        <w:rPr>
          <w:rFonts w:ascii="Times New Roman" w:eastAsia="Times New Roman" w:hAnsi="Times New Roman" w:cs="Times New Roman"/>
          <w:color w:val="000000"/>
        </w:rPr>
        <w:t>         The CPA also is engaged to perform a financial statement audit, review or certain compilations, or a prospective financial information examination for the client.</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3–17     Contingent fees may be accepted from clients for whom the CPA does not also provide to the client financial statement audits, reviews or certain compilations, or prospective financial information examinations.  However, it is unlikely that an expert witness would have much credibility if his or her compensation were contingent on the outcome of the case.</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color w:val="000000"/>
        </w:rPr>
        <w:t>3–18     Because Ms. Schultz</w:t>
      </w:r>
      <w:proofErr w:type="gramEnd"/>
      <w:r w:rsidRPr="00447551">
        <w:rPr>
          <w:rFonts w:ascii="Times New Roman" w:eastAsia="Times New Roman" w:hAnsi="Times New Roman" w:cs="Times New Roman"/>
          <w:color w:val="000000"/>
        </w:rPr>
        <w:t xml:space="preserve"> also performs financial statement audits for the client, a violation of the AICPA </w:t>
      </w:r>
      <w:r w:rsidRPr="00447551">
        <w:rPr>
          <w:rFonts w:ascii="Times New Roman" w:eastAsia="Times New Roman" w:hAnsi="Times New Roman" w:cs="Times New Roman"/>
          <w:i/>
          <w:iCs/>
          <w:color w:val="000000"/>
        </w:rPr>
        <w:t>Code of Professional Conduct</w:t>
      </w:r>
      <w:r w:rsidRPr="00447551">
        <w:rPr>
          <w:rFonts w:ascii="Times New Roman" w:eastAsia="Times New Roman" w:hAnsi="Times New Roman" w:cs="Times New Roman"/>
          <w:color w:val="000000"/>
        </w:rPr>
        <w:t> will result if the commission is accepted.</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Note to instructor:  You may wish to discuss the situation in which the CPA does not provide audits, reviews or certain compilations, or prospective financial information examinations for the client.  If Ms. Schultz does not perform any of the above services for the client, and if acceptance of the commission is disclosed to the client, there is no violation of the AICPA </w:t>
      </w:r>
      <w:r w:rsidRPr="00447551">
        <w:rPr>
          <w:rFonts w:ascii="Times New Roman" w:eastAsia="Times New Roman" w:hAnsi="Times New Roman" w:cs="Times New Roman"/>
          <w:i/>
          <w:iCs/>
          <w:color w:val="000000"/>
        </w:rPr>
        <w:t>Code of Professional Conduct</w:t>
      </w:r>
      <w:r w:rsidRPr="00447551">
        <w:rPr>
          <w:rFonts w:ascii="Times New Roman" w:eastAsia="Times New Roman" w:hAnsi="Times New Roman" w:cs="Times New Roman"/>
          <w:color w:val="000000"/>
        </w:rPr>
        <w:t>.</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3–19     Clark may only refer certain clients to his wife or to another life insurance agent who will share such a commission with his wife.  Such commissions may be received only for clients for whom the CPA does not perform financial statement audits, reviews or certain compilations, or prospective financial information examinations.  The acceptance of an appropriate commission and the fact that Laura Clark is his wife should be disclosed to the client.</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3–20     A CPA may practice in a form of organization permitted by state law.  Historically, the sole practitioner, partnership, and professional corporation forms of practice have been allowed.  In 1992 the </w:t>
      </w:r>
      <w:r w:rsidRPr="00447551">
        <w:rPr>
          <w:rFonts w:ascii="Times New Roman" w:eastAsia="Times New Roman" w:hAnsi="Times New Roman" w:cs="Times New Roman"/>
          <w:i/>
          <w:iCs/>
          <w:color w:val="000000"/>
        </w:rPr>
        <w:t>Code of Professional Conduct</w:t>
      </w:r>
      <w:r w:rsidRPr="00447551">
        <w:rPr>
          <w:rFonts w:ascii="Times New Roman" w:eastAsia="Times New Roman" w:hAnsi="Times New Roman" w:cs="Times New Roman"/>
          <w:color w:val="000000"/>
        </w:rPr>
        <w:t> was modified to allow other forms of organization that are allowed in the various states.  Currently, most states allow CPAs to practice in limited liability partnerships or corporations.</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color w:val="000000"/>
        </w:rPr>
        <w:t>3–21     No.</w:t>
      </w:r>
      <w:proofErr w:type="gramEnd"/>
      <w:r w:rsidRPr="00447551">
        <w:rPr>
          <w:rFonts w:ascii="Times New Roman" w:eastAsia="Times New Roman" w:hAnsi="Times New Roman" w:cs="Times New Roman"/>
          <w:color w:val="000000"/>
        </w:rPr>
        <w:t>  The concept of independence, which is essential in attestation services, is not an element of tax practice.  Recall, however, that Rule 102 requires that the CPA maintain objectivity and integrity.  Resolving doubt in favor of the client is not deemed, in itself, to impair integrity or objectivity.</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3–22     When CPAs prepare income tax returns, they must sign the preparer's declaration, indicating that the return is "true, correct, and complete...based on all information of which the preparer has knowledge." If the information contained in the return appears to be unreasonable, the CPAs must investigate the information sufficiently to resolve their doubts.  Otherwise, they cannot be associated with the return.</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color w:val="000000"/>
        </w:rPr>
        <w:t>3–23     The International Ethics Standards Board for Accountants, established by the International Federation of Accountants,</w:t>
      </w:r>
      <w:proofErr w:type="gramEnd"/>
      <w:r w:rsidRPr="00447551">
        <w:rPr>
          <w:rFonts w:ascii="Times New Roman" w:eastAsia="Times New Roman" w:hAnsi="Times New Roman" w:cs="Times New Roman"/>
          <w:color w:val="000000"/>
        </w:rPr>
        <w:t xml:space="preserve"> establishes international ethical standards, titled the </w:t>
      </w:r>
      <w:r w:rsidRPr="00447551">
        <w:rPr>
          <w:rFonts w:ascii="Times New Roman" w:eastAsia="Times New Roman" w:hAnsi="Times New Roman" w:cs="Times New Roman"/>
          <w:i/>
          <w:iCs/>
          <w:color w:val="000000"/>
        </w:rPr>
        <w:t>Code of Ethics for Professional Accountants</w:t>
      </w:r>
      <w:r w:rsidRPr="00447551">
        <w:rPr>
          <w:rFonts w:ascii="Times New Roman" w:eastAsia="Times New Roman" w:hAnsi="Times New Roman" w:cs="Times New Roman"/>
          <w:color w:val="000000"/>
        </w:rPr>
        <w:t>.  While the standards between the two groups are similar, the international standards have fewer definitive prohibitions (and are somewhat more “concepts based” than are the AICPA standards).</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3–24     The </w:t>
      </w:r>
      <w:r w:rsidRPr="00447551">
        <w:rPr>
          <w:rFonts w:ascii="Times New Roman" w:eastAsia="Times New Roman" w:hAnsi="Times New Roman" w:cs="Times New Roman"/>
          <w:i/>
          <w:iCs/>
          <w:color w:val="000000"/>
        </w:rPr>
        <w:t>Code of Ethics</w:t>
      </w:r>
      <w:r w:rsidRPr="00447551">
        <w:rPr>
          <w:rFonts w:ascii="Times New Roman" w:eastAsia="Times New Roman" w:hAnsi="Times New Roman" w:cs="Times New Roman"/>
          <w:color w:val="000000"/>
        </w:rPr>
        <w:t> of the Institute of Internal Auditors makes it clear that this statement is incorrect. For example, members have an obligation to exercise honesty, objectivity, and diligence in the performance of their duties and responsibilities.</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keepNext/>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b/>
          <w:bCs/>
          <w:color w:val="000000"/>
        </w:rPr>
        <w:lastRenderedPageBreak/>
        <w:t> </w:t>
      </w:r>
    </w:p>
    <w:p w:rsidR="00447551" w:rsidRPr="00447551" w:rsidRDefault="00447551" w:rsidP="00447551">
      <w:pPr>
        <w:keepNext/>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b/>
          <w:bCs/>
          <w:color w:val="000000"/>
        </w:rPr>
        <w:br w:type="page"/>
      </w:r>
      <w:r w:rsidRPr="00447551">
        <w:rPr>
          <w:rFonts w:ascii="Times New Roman" w:eastAsia="Times New Roman" w:hAnsi="Times New Roman" w:cs="Times New Roman"/>
          <w:b/>
          <w:bCs/>
          <w:color w:val="000000"/>
        </w:rPr>
        <w:lastRenderedPageBreak/>
        <w:t>Questions Requiring Analysis</w:t>
      </w:r>
    </w:p>
    <w:p w:rsidR="00447551" w:rsidRPr="00447551" w:rsidRDefault="00447551" w:rsidP="00447551">
      <w:pPr>
        <w:keepNext/>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color w:val="000000"/>
        </w:rPr>
        <w:t>3–25     </w:t>
      </w:r>
      <w:r w:rsidRPr="00447551">
        <w:rPr>
          <w:rFonts w:ascii="Times New Roman" w:eastAsia="Times New Roman" w:hAnsi="Times New Roman" w:cs="Times New Roman"/>
          <w:i/>
          <w:iCs/>
          <w:color w:val="000000"/>
        </w:rPr>
        <w:t>a.</w:t>
      </w:r>
      <w:proofErr w:type="gramEnd"/>
      <w:r w:rsidRPr="00447551">
        <w:rPr>
          <w:rFonts w:ascii="Times New Roman" w:eastAsia="Times New Roman" w:hAnsi="Times New Roman" w:cs="Times New Roman"/>
          <w:color w:val="000000"/>
        </w:rPr>
        <w:t>         If Libra Fashions, Inc. is a nonpublic client, the requirements in this situation are contained in            the AICPA </w:t>
      </w:r>
      <w:r w:rsidRPr="00447551">
        <w:rPr>
          <w:rFonts w:ascii="Times New Roman" w:eastAsia="Times New Roman" w:hAnsi="Times New Roman" w:cs="Times New Roman"/>
          <w:i/>
          <w:iCs/>
          <w:color w:val="000000"/>
        </w:rPr>
        <w:t>Code of Professional Conduct</w:t>
      </w:r>
      <w:r w:rsidRPr="00447551">
        <w:rPr>
          <w:rFonts w:ascii="Times New Roman" w:eastAsia="Times New Roman" w:hAnsi="Times New Roman" w:cs="Times New Roman"/>
          <w:color w:val="000000"/>
        </w:rPr>
        <w:t>.  Sally should notify her firm of the offer of  </w:t>
      </w:r>
    </w:p>
    <w:p w:rsidR="00447551" w:rsidRPr="00447551" w:rsidRDefault="00447551" w:rsidP="00447551">
      <w:pPr>
        <w:spacing w:after="0" w:line="240" w:lineRule="auto"/>
        <w:ind w:left="1440"/>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color w:val="000000"/>
        </w:rPr>
        <w:t>employment</w:t>
      </w:r>
      <w:proofErr w:type="gramEnd"/>
      <w:r w:rsidRPr="00447551">
        <w:rPr>
          <w:rFonts w:ascii="Times New Roman" w:eastAsia="Times New Roman" w:hAnsi="Times New Roman" w:cs="Times New Roman"/>
          <w:color w:val="000000"/>
        </w:rPr>
        <w:t>.  After such notification, the firm should remove Sally from the engagement until the offer is rejected.  In addition, the firm should consider performing procedures to ensure that Sally’s work was performed with objectivity and integrity.  If Sally accepts the position, the firm should consider modifying the engagement plan due to the additional risk resulting from the fact that Sally knows the audit plan.  Since Sally will be in a key position with significant interaction with the engagement team, the firm also should consider whether the current engagement team has the experience and status to deal with Sally as a client officer.  Other staff members may need to be assigned to the engagement.</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i/>
          <w:iCs/>
          <w:color w:val="000000"/>
        </w:rPr>
        <w:t>b</w:t>
      </w:r>
      <w:proofErr w:type="gramEnd"/>
      <w:r w:rsidRPr="00447551">
        <w:rPr>
          <w:rFonts w:ascii="Times New Roman" w:eastAsia="Times New Roman" w:hAnsi="Times New Roman" w:cs="Times New Roman"/>
          <w:i/>
          <w:iCs/>
          <w:color w:val="000000"/>
        </w:rPr>
        <w:t>.</w:t>
      </w:r>
      <w:r w:rsidRPr="00447551">
        <w:rPr>
          <w:rFonts w:ascii="Times New Roman" w:eastAsia="Times New Roman" w:hAnsi="Times New Roman" w:cs="Times New Roman"/>
          <w:color w:val="000000"/>
        </w:rPr>
        <w:t>         If Libra Fashions, Inc. is a public company the requirements are more stringent.  In addition to the requirements describe in (a), the Sarbanes-Oxley Act of 2002 (as interpreted by regulations of the SEC) provides that a CPA firm is not independent if certain members of management, including the CFO, had been members of the audit team within the one-year period preceding the commencement of audit procedures.  Therefore, if Sally accepts the position before a year has passed, the CPA firm would not be independent.  Libra Fashions would have to engage another CPA firm.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144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3–26                 Royce should attempt to evaluate whether the threat would lead a reasonable person, aware of all of the relevant facts, to conclude that an unacceptable risk of non-independence exists.  The process would include:</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800" w:hanging="36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(1)</w:t>
      </w:r>
      <w:r w:rsidRPr="00447551">
        <w:rPr>
          <w:rFonts w:ascii="Times New Roman" w:eastAsia="Times New Roman" w:hAnsi="Times New Roman" w:cs="Times New Roman"/>
          <w:color w:val="000000"/>
          <w:sz w:val="14"/>
          <w:szCs w:val="14"/>
        </w:rPr>
        <w:t>   </w:t>
      </w:r>
      <w:r w:rsidRPr="00447551">
        <w:rPr>
          <w:rFonts w:ascii="Times New Roman" w:eastAsia="Times New Roman" w:hAnsi="Times New Roman" w:cs="Times New Roman"/>
          <w:color w:val="000000"/>
          <w:sz w:val="14"/>
        </w:rPr>
        <w:t> </w:t>
      </w:r>
      <w:r w:rsidRPr="00447551">
        <w:rPr>
          <w:rFonts w:ascii="Times New Roman" w:eastAsia="Times New Roman" w:hAnsi="Times New Roman" w:cs="Times New Roman"/>
          <w:color w:val="000000"/>
        </w:rPr>
        <w:t>Determine whether a Code of Conduct Rule covers the situation.  If so, the Rule should be followed.</w:t>
      </w:r>
    </w:p>
    <w:p w:rsidR="00447551" w:rsidRPr="00447551" w:rsidRDefault="00447551" w:rsidP="00447551">
      <w:pPr>
        <w:spacing w:after="0" w:line="240" w:lineRule="auto"/>
        <w:ind w:left="1800" w:hanging="36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(2)</w:t>
      </w:r>
      <w:r w:rsidRPr="00447551">
        <w:rPr>
          <w:rFonts w:ascii="Times New Roman" w:eastAsia="Times New Roman" w:hAnsi="Times New Roman" w:cs="Times New Roman"/>
          <w:color w:val="000000"/>
          <w:sz w:val="14"/>
          <w:szCs w:val="14"/>
        </w:rPr>
        <w:t>   </w:t>
      </w:r>
      <w:r w:rsidRPr="00447551">
        <w:rPr>
          <w:rFonts w:ascii="Times New Roman" w:eastAsia="Times New Roman" w:hAnsi="Times New Roman" w:cs="Times New Roman"/>
          <w:color w:val="000000"/>
          <w:sz w:val="14"/>
        </w:rPr>
        <w:t> </w:t>
      </w:r>
      <w:r w:rsidRPr="00447551">
        <w:rPr>
          <w:rFonts w:ascii="Times New Roman" w:eastAsia="Times New Roman" w:hAnsi="Times New Roman" w:cs="Times New Roman"/>
          <w:color w:val="000000"/>
        </w:rPr>
        <w:t>If a Rule does not cover the situation, Royce should evaluate the situation from the perspective of a reasonable person with knowledge of the threat and any related safeguards that might mitigate the threat.</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color w:val="000000"/>
        </w:rPr>
        <w:t>3–27     </w:t>
      </w:r>
      <w:r w:rsidRPr="00447551">
        <w:rPr>
          <w:rFonts w:ascii="Times New Roman" w:eastAsia="Times New Roman" w:hAnsi="Times New Roman" w:cs="Times New Roman"/>
          <w:i/>
          <w:iCs/>
          <w:color w:val="000000"/>
        </w:rPr>
        <w:t>a.</w:t>
      </w:r>
      <w:proofErr w:type="gramEnd"/>
      <w:r w:rsidRPr="00447551">
        <w:rPr>
          <w:rFonts w:ascii="Times New Roman" w:eastAsia="Times New Roman" w:hAnsi="Times New Roman" w:cs="Times New Roman"/>
          <w:color w:val="000000"/>
        </w:rPr>
        <w:t>         No.  A partner in another office, with no ties to the audit, is not a covered member.</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r w:rsidRPr="00447551">
        <w:rPr>
          <w:rFonts w:ascii="Times New Roman" w:eastAsia="Times New Roman" w:hAnsi="Times New Roman" w:cs="Times New Roman"/>
          <w:i/>
          <w:iCs/>
          <w:color w:val="000000"/>
        </w:rPr>
        <w:t>b.</w:t>
      </w:r>
      <w:r w:rsidRPr="00447551">
        <w:rPr>
          <w:rFonts w:ascii="Times New Roman" w:eastAsia="Times New Roman" w:hAnsi="Times New Roman" w:cs="Times New Roman"/>
          <w:color w:val="000000"/>
        </w:rPr>
        <w:t>         Yes.  An individual on the attest engagement team is a covered member.</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r w:rsidRPr="00447551">
        <w:rPr>
          <w:rFonts w:ascii="Times New Roman" w:eastAsia="Times New Roman" w:hAnsi="Times New Roman" w:cs="Times New Roman"/>
          <w:i/>
          <w:iCs/>
          <w:color w:val="000000"/>
        </w:rPr>
        <w:t>c.</w:t>
      </w:r>
      <w:r w:rsidRPr="00447551">
        <w:rPr>
          <w:rFonts w:ascii="Times New Roman" w:eastAsia="Times New Roman" w:hAnsi="Times New Roman" w:cs="Times New Roman"/>
          <w:color w:val="000000"/>
        </w:rPr>
        <w:t>          Yes.  A partner in the engagement office is a covered member.</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roofErr w:type="gramStart"/>
      <w:r w:rsidRPr="00447551">
        <w:rPr>
          <w:rFonts w:ascii="Times New Roman" w:eastAsia="Times New Roman" w:hAnsi="Times New Roman" w:cs="Times New Roman"/>
          <w:i/>
          <w:iCs/>
          <w:color w:val="000000"/>
        </w:rPr>
        <w:t>d</w:t>
      </w:r>
      <w:proofErr w:type="gramEnd"/>
      <w:r w:rsidRPr="00447551">
        <w:rPr>
          <w:rFonts w:ascii="Times New Roman" w:eastAsia="Times New Roman" w:hAnsi="Times New Roman" w:cs="Times New Roman"/>
          <w:i/>
          <w:iCs/>
          <w:color w:val="000000"/>
        </w:rPr>
        <w:t>.</w:t>
      </w:r>
      <w:r w:rsidRPr="00447551">
        <w:rPr>
          <w:rFonts w:ascii="Times New Roman" w:eastAsia="Times New Roman" w:hAnsi="Times New Roman" w:cs="Times New Roman"/>
          <w:color w:val="000000"/>
        </w:rPr>
        <w:t>         No.   Since Jepson does not work on the audit, he is not a covered member.</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r w:rsidRPr="00447551">
        <w:rPr>
          <w:rFonts w:ascii="Times New Roman" w:eastAsia="Times New Roman" w:hAnsi="Times New Roman" w:cs="Times New Roman"/>
          <w:i/>
          <w:iCs/>
          <w:color w:val="000000"/>
        </w:rPr>
        <w:t>e.</w:t>
      </w:r>
      <w:r w:rsidRPr="00447551">
        <w:rPr>
          <w:rFonts w:ascii="Times New Roman" w:eastAsia="Times New Roman" w:hAnsi="Times New Roman" w:cs="Times New Roman"/>
          <w:color w:val="000000"/>
        </w:rPr>
        <w:t>          Yes.  By serving as a consultant, Sanders is able to influence the audit.</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Times New Roman" w:eastAsia="Times New Roman" w:hAnsi="Times New Roman" w:cs="Times New Roman"/>
          <w:color w:val="000000"/>
        </w:rPr>
      </w:pPr>
      <w:proofErr w:type="gramStart"/>
      <w:r w:rsidRPr="00447551">
        <w:rPr>
          <w:rFonts w:ascii="Times New Roman" w:eastAsia="Times New Roman" w:hAnsi="Times New Roman" w:cs="Times New Roman"/>
          <w:color w:val="000000"/>
        </w:rPr>
        <w:t>3–28     Maybe.</w:t>
      </w:r>
      <w:proofErr w:type="gramEnd"/>
      <w:r w:rsidRPr="00447551">
        <w:rPr>
          <w:rFonts w:ascii="Times New Roman" w:eastAsia="Times New Roman" w:hAnsi="Times New Roman" w:cs="Times New Roman"/>
          <w:color w:val="000000"/>
        </w:rPr>
        <w:t>  This case illustrates the threat of “undue influence,” in which the attest client’s management coerces the public accountant or exercises excessive influence over the accountant.  Whether or not the situation impairs the firm’s independence depends on the safeguards that exist.  As an example, the firm might require a second opinion regarding the acceptability of the accounting principle.  If appropriate safeguards exist, the threat may be mitigated.</w:t>
      </w:r>
    </w:p>
    <w:p w:rsidR="00447551" w:rsidRPr="00447551" w:rsidRDefault="00447551" w:rsidP="00447551">
      <w:pPr>
        <w:spacing w:after="0" w:line="240" w:lineRule="auto"/>
        <w:ind w:left="720" w:hanging="720"/>
        <w:rPr>
          <w:rFonts w:ascii="Times New Roman" w:eastAsia="Times New Roman" w:hAnsi="Times New Roman" w:cs="Times New Roman"/>
          <w:color w:val="000000"/>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Times New Roman" w:eastAsia="Times New Roman" w:hAnsi="Times New Roman" w:cs="Times New Roman"/>
          <w:color w:val="000000"/>
        </w:rPr>
      </w:pPr>
      <w:r w:rsidRPr="00447551">
        <w:rPr>
          <w:rFonts w:ascii="Times New Roman" w:eastAsia="Times New Roman" w:hAnsi="Times New Roman" w:cs="Times New Roman"/>
          <w:color w:val="000000"/>
        </w:rPr>
        <w:br w:type="page"/>
      </w:r>
      <w:r w:rsidRPr="00447551">
        <w:rPr>
          <w:rFonts w:ascii="Times New Roman" w:eastAsia="Times New Roman" w:hAnsi="Times New Roman" w:cs="Times New Roman"/>
          <w:color w:val="000000"/>
        </w:rPr>
        <w:lastRenderedPageBreak/>
        <w:t xml:space="preserve">3–29     </w:t>
      </w:r>
      <w:proofErr w:type="gramStart"/>
      <w:r w:rsidRPr="00447551">
        <w:rPr>
          <w:rFonts w:ascii="Times New Roman" w:eastAsia="Times New Roman" w:hAnsi="Times New Roman" w:cs="Times New Roman"/>
          <w:color w:val="000000"/>
        </w:rPr>
        <w:t>Although</w:t>
      </w:r>
      <w:proofErr w:type="gramEnd"/>
      <w:r w:rsidRPr="00447551">
        <w:rPr>
          <w:rFonts w:ascii="Times New Roman" w:eastAsia="Times New Roman" w:hAnsi="Times New Roman" w:cs="Times New Roman"/>
          <w:color w:val="000000"/>
        </w:rPr>
        <w:t xml:space="preserve"> her decision will not be popular with the audit staff, Smith should thank the client but decline the offer, both for her and for the staff.  She should explain that an outsider who had knowledge of all of the relevant facts might view the free use of a condominium as a sizable "gift" to the auditors, which might influence their independent mental attitude.  Thus, we believe that to maintain an appearance of independence, the auditors should not accept this offer.  Note that an illustrative case in the chapter suggests that Arthur Andersen apparently disagreed with our position in that its employees are reported to have gone upon ski trips with audit client Enron’s employees (although financing details are not available).</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color w:val="000000"/>
        </w:rPr>
        <w:t>3–30     No.</w:t>
      </w:r>
      <w:proofErr w:type="gramEnd"/>
      <w:r w:rsidRPr="00447551">
        <w:rPr>
          <w:rFonts w:ascii="Times New Roman" w:eastAsia="Times New Roman" w:hAnsi="Times New Roman" w:cs="Times New Roman"/>
          <w:color w:val="000000"/>
        </w:rPr>
        <w:t>  CPAs may refuse client access to their working papers for any valid business purpose.  Therefore, a CPA may require that fees be paid before working papers including such adjusting entries and supporting analysis are provided to the client.</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144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1440"/>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color w:val="000000"/>
        </w:rPr>
        <w:t>3–31     </w:t>
      </w:r>
      <w:r w:rsidRPr="00447551">
        <w:rPr>
          <w:rFonts w:ascii="Times New Roman" w:eastAsia="Times New Roman" w:hAnsi="Times New Roman" w:cs="Times New Roman"/>
          <w:i/>
          <w:iCs/>
          <w:color w:val="000000"/>
        </w:rPr>
        <w:t>a.</w:t>
      </w:r>
      <w:proofErr w:type="gramEnd"/>
      <w:r w:rsidRPr="00447551">
        <w:rPr>
          <w:rFonts w:ascii="Times New Roman" w:eastAsia="Times New Roman" w:hAnsi="Times New Roman" w:cs="Times New Roman"/>
          <w:color w:val="000000"/>
        </w:rPr>
        <w:t>         When management and the board of directors take appropriate remedial action, the CPA is not required to report the matter outside the company.</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b.</w:t>
      </w:r>
      <w:r w:rsidRPr="00447551">
        <w:rPr>
          <w:rFonts w:ascii="Times New Roman" w:eastAsia="Times New Roman" w:hAnsi="Times New Roman" w:cs="Times New Roman"/>
          <w:color w:val="000000"/>
        </w:rPr>
        <w:t>         If management and the board of directors fail to take appropriate remedial action, the Private Securities Reform Act of 1995 requires auditor communication outside of the entity when the failure to take appropriate remedial action is reasonably expected to warrant a departure from a standard audit report or auditor resignation.  In those circumstances, the auditors must, as soon as practicable, communicate their conclusions directly to the client’s board of directors.  Within one day, the management of the client must send a notification to the Securities and Exchange Commission of having received such a communication from the auditors, and a copy of the notification should be sent to the auditors.  If the auditors do not receive the copy within a one-day period, they have one day to directly communicate the matter to the Securities and Exchange Commission.</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b/>
          <w:bCs/>
          <w:color w:val="000000"/>
        </w:rPr>
        <w:t>Objective Questions</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3–32     Multiple Choice Questions</w:t>
      </w:r>
    </w:p>
    <w:p w:rsidR="00447551" w:rsidRPr="00447551" w:rsidRDefault="00447551" w:rsidP="00447551">
      <w:pPr>
        <w:spacing w:after="0" w:line="240" w:lineRule="auto"/>
        <w:ind w:left="2160" w:hanging="216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2160" w:hanging="216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roofErr w:type="gramStart"/>
      <w:r w:rsidRPr="00447551">
        <w:rPr>
          <w:rFonts w:ascii="Times New Roman" w:eastAsia="Times New Roman" w:hAnsi="Times New Roman" w:cs="Times New Roman"/>
          <w:i/>
          <w:iCs/>
          <w:color w:val="000000"/>
        </w:rPr>
        <w:t>a</w:t>
      </w:r>
      <w:proofErr w:type="gramEnd"/>
      <w:r w:rsidRPr="00447551">
        <w:rPr>
          <w:rFonts w:ascii="Times New Roman" w:eastAsia="Times New Roman" w:hAnsi="Times New Roman" w:cs="Times New Roman"/>
          <w:i/>
          <w:iCs/>
          <w:color w:val="000000"/>
        </w:rPr>
        <w:t>.</w:t>
      </w:r>
      <w:r w:rsidRPr="00447551">
        <w:rPr>
          <w:rFonts w:ascii="Times New Roman" w:eastAsia="Times New Roman" w:hAnsi="Times New Roman" w:cs="Times New Roman"/>
          <w:color w:val="000000"/>
        </w:rPr>
        <w:t>         (4)        A partner in the national office of the firm that performs marketing services is not considered a covered member as it is unlikely that this partner will be in a position to influence the attest engagement.  Individuals assigned to the attest engagement, all partners in the office, and a manager who provides tax services to the client are all included as covered members.</w:t>
      </w:r>
    </w:p>
    <w:p w:rsidR="00447551" w:rsidRPr="00447551" w:rsidRDefault="00447551" w:rsidP="00447551">
      <w:pPr>
        <w:spacing w:after="0" w:line="240" w:lineRule="auto"/>
        <w:ind w:left="2160" w:hanging="216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2160" w:hanging="216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roofErr w:type="gramStart"/>
      <w:r w:rsidRPr="00447551">
        <w:rPr>
          <w:rFonts w:ascii="Times New Roman" w:eastAsia="Times New Roman" w:hAnsi="Times New Roman" w:cs="Times New Roman"/>
          <w:i/>
          <w:iCs/>
          <w:color w:val="000000"/>
        </w:rPr>
        <w:t>b</w:t>
      </w:r>
      <w:proofErr w:type="gramEnd"/>
      <w:r w:rsidRPr="00447551">
        <w:rPr>
          <w:rFonts w:ascii="Times New Roman" w:eastAsia="Times New Roman" w:hAnsi="Times New Roman" w:cs="Times New Roman"/>
          <w:i/>
          <w:iCs/>
          <w:color w:val="000000"/>
        </w:rPr>
        <w:t>.</w:t>
      </w:r>
      <w:r w:rsidRPr="00447551">
        <w:rPr>
          <w:rFonts w:ascii="Times New Roman" w:eastAsia="Times New Roman" w:hAnsi="Times New Roman" w:cs="Times New Roman"/>
          <w:color w:val="000000"/>
        </w:rPr>
        <w:t>         (1)        Advertising in newspapers is an acceptable practice.  The other three replies are all prohibited by the</w:t>
      </w:r>
      <w:r w:rsidRPr="00447551">
        <w:rPr>
          <w:rFonts w:ascii="Times New Roman" w:eastAsia="Times New Roman" w:hAnsi="Times New Roman" w:cs="Times New Roman"/>
          <w:i/>
          <w:iCs/>
          <w:color w:val="000000"/>
        </w:rPr>
        <w:t>Code of Professional Conduct</w:t>
      </w:r>
      <w:r w:rsidRPr="00447551">
        <w:rPr>
          <w:rFonts w:ascii="Times New Roman" w:eastAsia="Times New Roman" w:hAnsi="Times New Roman" w:cs="Times New Roman"/>
          <w:color w:val="000000"/>
        </w:rPr>
        <w:t>.</w:t>
      </w:r>
    </w:p>
    <w:p w:rsidR="00447551" w:rsidRPr="00447551" w:rsidRDefault="00447551" w:rsidP="00447551">
      <w:pPr>
        <w:spacing w:after="0" w:line="240" w:lineRule="auto"/>
        <w:ind w:left="2160" w:hanging="216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2160" w:hanging="216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roofErr w:type="gramStart"/>
      <w:r w:rsidRPr="00447551">
        <w:rPr>
          <w:rFonts w:ascii="Times New Roman" w:eastAsia="Times New Roman" w:hAnsi="Times New Roman" w:cs="Times New Roman"/>
          <w:i/>
          <w:iCs/>
          <w:color w:val="000000"/>
        </w:rPr>
        <w:t>c</w:t>
      </w:r>
      <w:proofErr w:type="gramEnd"/>
      <w:r w:rsidRPr="00447551">
        <w:rPr>
          <w:rFonts w:ascii="Times New Roman" w:eastAsia="Times New Roman" w:hAnsi="Times New Roman" w:cs="Times New Roman"/>
          <w:i/>
          <w:iCs/>
          <w:color w:val="000000"/>
        </w:rPr>
        <w:t>.</w:t>
      </w:r>
      <w:r w:rsidRPr="00447551">
        <w:rPr>
          <w:rFonts w:ascii="Times New Roman" w:eastAsia="Times New Roman" w:hAnsi="Times New Roman" w:cs="Times New Roman"/>
          <w:color w:val="000000"/>
        </w:rPr>
        <w:t>          (1)        A fee for audit clients that is dependent upon the results achieved by the CPA's efforts is a contingent fee and is prohibited for audit clients by Rule 302.</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2160" w:hanging="1440"/>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i/>
          <w:iCs/>
          <w:color w:val="000000"/>
        </w:rPr>
        <w:t>d</w:t>
      </w:r>
      <w:proofErr w:type="gramEnd"/>
      <w:r w:rsidRPr="00447551">
        <w:rPr>
          <w:rFonts w:ascii="Times New Roman" w:eastAsia="Times New Roman" w:hAnsi="Times New Roman" w:cs="Times New Roman"/>
          <w:i/>
          <w:iCs/>
          <w:color w:val="000000"/>
        </w:rPr>
        <w:t>.</w:t>
      </w:r>
      <w:r w:rsidRPr="00447551">
        <w:rPr>
          <w:rFonts w:ascii="Times New Roman" w:eastAsia="Times New Roman" w:hAnsi="Times New Roman" w:cs="Times New Roman"/>
          <w:color w:val="000000"/>
        </w:rPr>
        <w:t>         (1)        An auditor's independence would not be considered to be impaired with respect to a financial institution in which the auditor maintains a checking account that is fully insured.</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2160" w:hanging="1440"/>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i/>
          <w:iCs/>
          <w:color w:val="000000"/>
        </w:rPr>
        <w:t>e</w:t>
      </w:r>
      <w:proofErr w:type="gramEnd"/>
      <w:r w:rsidRPr="00447551">
        <w:rPr>
          <w:rFonts w:ascii="Times New Roman" w:eastAsia="Times New Roman" w:hAnsi="Times New Roman" w:cs="Times New Roman"/>
          <w:i/>
          <w:iCs/>
          <w:color w:val="000000"/>
        </w:rPr>
        <w:t>.</w:t>
      </w:r>
      <w:r w:rsidRPr="00447551">
        <w:rPr>
          <w:rFonts w:ascii="Times New Roman" w:eastAsia="Times New Roman" w:hAnsi="Times New Roman" w:cs="Times New Roman"/>
          <w:color w:val="000000"/>
        </w:rPr>
        <w:t>          (1)        The declaration requires the preparer to acknowledge that the return is "true, correct, and complete . . . based on all information of which the preparer has any knowledge."</w:t>
      </w:r>
    </w:p>
    <w:p w:rsidR="00447551" w:rsidRPr="00447551" w:rsidRDefault="00447551" w:rsidP="00447551">
      <w:pPr>
        <w:spacing w:after="0" w:line="240" w:lineRule="auto"/>
        <w:ind w:left="2160" w:hanging="144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lastRenderedPageBreak/>
        <w:t> </w:t>
      </w:r>
    </w:p>
    <w:p w:rsidR="00447551" w:rsidRPr="00447551" w:rsidRDefault="00447551" w:rsidP="00447551">
      <w:pPr>
        <w:spacing w:after="0" w:line="240" w:lineRule="auto"/>
        <w:ind w:left="2160" w:hanging="1440"/>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i/>
          <w:iCs/>
          <w:color w:val="000000"/>
        </w:rPr>
        <w:t>f</w:t>
      </w:r>
      <w:proofErr w:type="gramEnd"/>
      <w:r w:rsidRPr="00447551">
        <w:rPr>
          <w:rFonts w:ascii="Times New Roman" w:eastAsia="Times New Roman" w:hAnsi="Times New Roman" w:cs="Times New Roman"/>
          <w:i/>
          <w:iCs/>
          <w:color w:val="000000"/>
        </w:rPr>
        <w:t>.</w:t>
      </w:r>
      <w:r w:rsidRPr="00447551">
        <w:rPr>
          <w:rFonts w:ascii="Times New Roman" w:eastAsia="Times New Roman" w:hAnsi="Times New Roman" w:cs="Times New Roman"/>
          <w:color w:val="000000"/>
        </w:rPr>
        <w:t>          (3)        CPAs in public practice are prohibited from disclosing confidential information without the consent of the client, except in certain specified circumstances.  Answers (1), (2), and (4) are three of the circumstances in which disclosure of information is permitted.</w:t>
      </w:r>
    </w:p>
    <w:p w:rsidR="00447551" w:rsidRPr="00447551" w:rsidRDefault="00447551" w:rsidP="00447551">
      <w:pPr>
        <w:spacing w:after="0" w:line="240" w:lineRule="auto"/>
        <w:ind w:left="2160" w:hanging="144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2160" w:hanging="1440"/>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i/>
          <w:iCs/>
          <w:color w:val="000000"/>
        </w:rPr>
        <w:t>g</w:t>
      </w:r>
      <w:proofErr w:type="gramEnd"/>
      <w:r w:rsidRPr="00447551">
        <w:rPr>
          <w:rFonts w:ascii="Times New Roman" w:eastAsia="Times New Roman" w:hAnsi="Times New Roman" w:cs="Times New Roman"/>
          <w:i/>
          <w:iCs/>
          <w:color w:val="000000"/>
        </w:rPr>
        <w:t>.</w:t>
      </w:r>
      <w:r w:rsidRPr="00447551">
        <w:rPr>
          <w:rFonts w:ascii="Times New Roman" w:eastAsia="Times New Roman" w:hAnsi="Times New Roman" w:cs="Times New Roman"/>
          <w:color w:val="000000"/>
        </w:rPr>
        <w:t>         (2)        Rule 505 requires that a firm practice under a firm name that is misleading.  In this situation the name is misleading since it appears that Jones' firm is a partnership.</w:t>
      </w:r>
    </w:p>
    <w:p w:rsidR="00447551" w:rsidRPr="00447551" w:rsidRDefault="00447551" w:rsidP="00447551">
      <w:pPr>
        <w:spacing w:after="0" w:line="240" w:lineRule="auto"/>
        <w:ind w:left="2160" w:hanging="144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2160" w:hanging="1440"/>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i/>
          <w:iCs/>
          <w:color w:val="000000"/>
        </w:rPr>
        <w:t>h</w:t>
      </w:r>
      <w:proofErr w:type="gramEnd"/>
      <w:r w:rsidRPr="00447551">
        <w:rPr>
          <w:rFonts w:ascii="Times New Roman" w:eastAsia="Times New Roman" w:hAnsi="Times New Roman" w:cs="Times New Roman"/>
          <w:i/>
          <w:iCs/>
          <w:color w:val="000000"/>
        </w:rPr>
        <w:t>.</w:t>
      </w:r>
      <w:r w:rsidRPr="00447551">
        <w:rPr>
          <w:rFonts w:ascii="Times New Roman" w:eastAsia="Times New Roman" w:hAnsi="Times New Roman" w:cs="Times New Roman"/>
          <w:color w:val="000000"/>
        </w:rPr>
        <w:t>         (3)        Rule 201-A prohibits a public accounting firm from accepting an engagement that the firm is not competent to perform.  If technical competence problems develop during the engagement, the CPAs should advise the client and withdraw from the engagement.</w:t>
      </w:r>
    </w:p>
    <w:p w:rsidR="00447551" w:rsidRPr="00447551" w:rsidRDefault="00447551" w:rsidP="00447551">
      <w:pPr>
        <w:spacing w:after="0" w:line="240" w:lineRule="auto"/>
        <w:ind w:left="2160" w:hanging="144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2160" w:hanging="1440"/>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i/>
          <w:iCs/>
          <w:color w:val="000000"/>
        </w:rPr>
        <w:t>i</w:t>
      </w:r>
      <w:proofErr w:type="gramEnd"/>
      <w:r w:rsidRPr="00447551">
        <w:rPr>
          <w:rFonts w:ascii="Times New Roman" w:eastAsia="Times New Roman" w:hAnsi="Times New Roman" w:cs="Times New Roman"/>
          <w:i/>
          <w:iCs/>
          <w:color w:val="000000"/>
        </w:rPr>
        <w:t>.</w:t>
      </w:r>
      <w:r w:rsidRPr="00447551">
        <w:rPr>
          <w:rFonts w:ascii="Times New Roman" w:eastAsia="Times New Roman" w:hAnsi="Times New Roman" w:cs="Times New Roman"/>
          <w:color w:val="000000"/>
        </w:rPr>
        <w:t>          (4)        Auditors may currently prepare the company’s tax return.  The Sarbanes-Oxley Act, as implemented by the PCAOB, prohibits internal audit outsourcing, performing tax planning for the company’s officers, and performing bookkeeping services.</w:t>
      </w:r>
    </w:p>
    <w:p w:rsidR="00447551" w:rsidRPr="00447551" w:rsidRDefault="00447551" w:rsidP="00447551">
      <w:pPr>
        <w:spacing w:after="0" w:line="240" w:lineRule="auto"/>
        <w:ind w:left="2160" w:hanging="144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2160" w:hanging="1440"/>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i/>
          <w:iCs/>
          <w:color w:val="000000"/>
        </w:rPr>
        <w:t>j</w:t>
      </w:r>
      <w:proofErr w:type="gramEnd"/>
      <w:r w:rsidRPr="00447551">
        <w:rPr>
          <w:rFonts w:ascii="Times New Roman" w:eastAsia="Times New Roman" w:hAnsi="Times New Roman" w:cs="Times New Roman"/>
          <w:i/>
          <w:iCs/>
          <w:color w:val="000000"/>
        </w:rPr>
        <w:t>.</w:t>
      </w:r>
      <w:r w:rsidRPr="00447551">
        <w:rPr>
          <w:rFonts w:ascii="Times New Roman" w:eastAsia="Times New Roman" w:hAnsi="Times New Roman" w:cs="Times New Roman"/>
          <w:color w:val="000000"/>
        </w:rPr>
        <w:t xml:space="preserve">          (2)        A CPA may help train client employees for an attest client.  </w:t>
      </w:r>
      <w:proofErr w:type="gramStart"/>
      <w:r w:rsidRPr="00447551">
        <w:rPr>
          <w:rFonts w:ascii="Times New Roman" w:eastAsia="Times New Roman" w:hAnsi="Times New Roman" w:cs="Times New Roman"/>
          <w:color w:val="000000"/>
        </w:rPr>
        <w:t>The </w:t>
      </w:r>
      <w:r w:rsidRPr="00447551">
        <w:rPr>
          <w:rFonts w:ascii="Times New Roman" w:eastAsia="Times New Roman" w:hAnsi="Times New Roman" w:cs="Times New Roman"/>
          <w:i/>
          <w:iCs/>
          <w:color w:val="000000"/>
        </w:rPr>
        <w:t>Code of Professional Conduct</w:t>
      </w:r>
      <w:r w:rsidRPr="00447551">
        <w:rPr>
          <w:rFonts w:ascii="Times New Roman" w:eastAsia="Times New Roman" w:hAnsi="Times New Roman" w:cs="Times New Roman"/>
          <w:color w:val="000000"/>
        </w:rPr>
        <w:t>prohibits maintaining custody of client assets, supervising client employees, and authorizing transactions.</w:t>
      </w:r>
      <w:proofErr w:type="gramEnd"/>
    </w:p>
    <w:p w:rsidR="00447551" w:rsidRPr="00447551" w:rsidRDefault="00447551" w:rsidP="00447551">
      <w:pPr>
        <w:spacing w:after="0" w:line="240" w:lineRule="auto"/>
        <w:ind w:left="2160" w:hanging="144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2160" w:hanging="1440"/>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i/>
          <w:iCs/>
          <w:color w:val="000000"/>
        </w:rPr>
        <w:t>k</w:t>
      </w:r>
      <w:proofErr w:type="gramEnd"/>
      <w:r w:rsidRPr="00447551">
        <w:rPr>
          <w:rFonts w:ascii="Times New Roman" w:eastAsia="Times New Roman" w:hAnsi="Times New Roman" w:cs="Times New Roman"/>
          <w:i/>
          <w:iCs/>
          <w:color w:val="000000"/>
        </w:rPr>
        <w:t>.</w:t>
      </w:r>
      <w:r w:rsidRPr="00447551">
        <w:rPr>
          <w:rFonts w:ascii="Times New Roman" w:eastAsia="Times New Roman" w:hAnsi="Times New Roman" w:cs="Times New Roman"/>
          <w:color w:val="000000"/>
        </w:rPr>
        <w:t>         (4)        There are no </w:t>
      </w:r>
      <w:r w:rsidRPr="00447551">
        <w:rPr>
          <w:rFonts w:ascii="Times New Roman" w:eastAsia="Times New Roman" w:hAnsi="Times New Roman" w:cs="Times New Roman"/>
          <w:i/>
          <w:iCs/>
          <w:color w:val="000000"/>
        </w:rPr>
        <w:t>Statements on Responsibilities in Assurance Services.</w:t>
      </w:r>
    </w:p>
    <w:p w:rsidR="00447551" w:rsidRPr="00447551" w:rsidRDefault="00447551" w:rsidP="00447551">
      <w:pPr>
        <w:spacing w:after="0" w:line="240" w:lineRule="auto"/>
        <w:ind w:left="2160" w:hanging="144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2160" w:hanging="1440"/>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i/>
          <w:iCs/>
          <w:color w:val="000000"/>
        </w:rPr>
        <w:t>l</w:t>
      </w:r>
      <w:proofErr w:type="gramEnd"/>
      <w:r w:rsidRPr="00447551">
        <w:rPr>
          <w:rFonts w:ascii="Times New Roman" w:eastAsia="Times New Roman" w:hAnsi="Times New Roman" w:cs="Times New Roman"/>
          <w:i/>
          <w:iCs/>
          <w:color w:val="000000"/>
        </w:rPr>
        <w:t>.</w:t>
      </w:r>
      <w:r w:rsidRPr="00447551">
        <w:rPr>
          <w:rFonts w:ascii="Times New Roman" w:eastAsia="Times New Roman" w:hAnsi="Times New Roman" w:cs="Times New Roman"/>
          <w:color w:val="000000"/>
        </w:rPr>
        <w:t>          (3)        The IIA </w:t>
      </w:r>
      <w:r w:rsidRPr="00447551">
        <w:rPr>
          <w:rFonts w:ascii="Times New Roman" w:eastAsia="Times New Roman" w:hAnsi="Times New Roman" w:cs="Times New Roman"/>
          <w:i/>
          <w:iCs/>
          <w:color w:val="000000"/>
        </w:rPr>
        <w:t>Code of Ethics</w:t>
      </w:r>
      <w:r w:rsidRPr="00447551">
        <w:rPr>
          <w:rFonts w:ascii="Times New Roman" w:eastAsia="Times New Roman" w:hAnsi="Times New Roman" w:cs="Times New Roman"/>
          <w:color w:val="000000"/>
        </w:rPr>
        <w:t> does not directly address the use of sampling methods.</w:t>
      </w:r>
    </w:p>
    <w:p w:rsidR="00447551" w:rsidRPr="00447551" w:rsidRDefault="00447551" w:rsidP="00447551">
      <w:pPr>
        <w:spacing w:after="0" w:line="240" w:lineRule="auto"/>
        <w:ind w:left="720" w:firstLine="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12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sz w:val="27"/>
          <w:szCs w:val="27"/>
        </w:rPr>
        <w:t>3–33   </w:t>
      </w:r>
      <w:r w:rsidRPr="00447551">
        <w:rPr>
          <w:rFonts w:ascii="Times New Roman" w:eastAsia="Times New Roman" w:hAnsi="Times New Roman" w:cs="Times New Roman"/>
          <w:color w:val="000000"/>
          <w:sz w:val="27"/>
        </w:rPr>
        <w:t> </w:t>
      </w:r>
      <w:r w:rsidRPr="00447551">
        <w:rPr>
          <w:rFonts w:ascii="Times New Roman" w:eastAsia="Times New Roman" w:hAnsi="Times New Roman" w:cs="Times New Roman"/>
          <w:color w:val="000000"/>
        </w:rPr>
        <w:t>Task-Based Simulation</w:t>
      </w:r>
    </w:p>
    <w:p w:rsidR="00447551" w:rsidRPr="00447551" w:rsidRDefault="00447551" w:rsidP="00447551">
      <w:pPr>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sz w:val="27"/>
          <w:szCs w:val="27"/>
        </w:rPr>
        <w:t>           </w:t>
      </w:r>
      <w:r w:rsidRPr="00447551">
        <w:rPr>
          <w:rFonts w:ascii="Times New Roman" w:eastAsia="Times New Roman" w:hAnsi="Times New Roman" w:cs="Times New Roman"/>
          <w:color w:val="000000"/>
          <w:sz w:val="27"/>
        </w:rPr>
        <w:t> </w:t>
      </w:r>
      <w:r w:rsidRPr="00447551">
        <w:rPr>
          <w:rFonts w:ascii="Times New Roman" w:eastAsia="Times New Roman" w:hAnsi="Times New Roman" w:cs="Times New Roman"/>
          <w:i/>
          <w:iCs/>
          <w:color w:val="000000"/>
          <w:sz w:val="27"/>
          <w:szCs w:val="27"/>
        </w:rPr>
        <w:t>a.</w:t>
      </w:r>
      <w:r w:rsidRPr="00447551">
        <w:rPr>
          <w:rFonts w:ascii="Times New Roman" w:eastAsia="Times New Roman" w:hAnsi="Times New Roman" w:cs="Times New Roman"/>
          <w:color w:val="000000"/>
          <w:sz w:val="27"/>
          <w:szCs w:val="27"/>
        </w:rPr>
        <w:t>         Not allowable</w:t>
      </w:r>
      <w:proofErr w:type="gramStart"/>
      <w:r w:rsidRPr="00447551">
        <w:rPr>
          <w:rFonts w:ascii="Times New Roman" w:eastAsia="Times New Roman" w:hAnsi="Times New Roman" w:cs="Times New Roman"/>
          <w:color w:val="000000"/>
          <w:sz w:val="27"/>
          <w:szCs w:val="27"/>
        </w:rPr>
        <w:t>  (</w:t>
      </w:r>
      <w:proofErr w:type="gramEnd"/>
      <w:r w:rsidRPr="00447551">
        <w:rPr>
          <w:rFonts w:ascii="Times New Roman" w:eastAsia="Times New Roman" w:hAnsi="Times New Roman" w:cs="Times New Roman"/>
          <w:color w:val="000000"/>
          <w:sz w:val="27"/>
          <w:szCs w:val="27"/>
        </w:rPr>
        <w:t>PCAOB rules prohibit)</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sz w:val="27"/>
          <w:szCs w:val="27"/>
        </w:rPr>
        <w:t>b.</w:t>
      </w:r>
      <w:r w:rsidRPr="00447551">
        <w:rPr>
          <w:rFonts w:ascii="Times New Roman" w:eastAsia="Times New Roman" w:hAnsi="Times New Roman" w:cs="Times New Roman"/>
          <w:color w:val="000000"/>
          <w:sz w:val="27"/>
          <w:szCs w:val="27"/>
        </w:rPr>
        <w:t>         Allowable</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sz w:val="27"/>
          <w:szCs w:val="27"/>
        </w:rPr>
        <w:t>c.</w:t>
      </w:r>
      <w:r w:rsidRPr="00447551">
        <w:rPr>
          <w:rFonts w:ascii="Times New Roman" w:eastAsia="Times New Roman" w:hAnsi="Times New Roman" w:cs="Times New Roman"/>
          <w:color w:val="000000"/>
          <w:sz w:val="27"/>
          <w:szCs w:val="27"/>
        </w:rPr>
        <w:t>         Allowable</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sz w:val="27"/>
          <w:szCs w:val="27"/>
        </w:rPr>
        <w:t>d.</w:t>
      </w:r>
      <w:r w:rsidRPr="00447551">
        <w:rPr>
          <w:rFonts w:ascii="Times New Roman" w:eastAsia="Times New Roman" w:hAnsi="Times New Roman" w:cs="Times New Roman"/>
          <w:color w:val="000000"/>
          <w:sz w:val="27"/>
          <w:szCs w:val="27"/>
        </w:rPr>
        <w:t>         Allowable</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sz w:val="27"/>
          <w:szCs w:val="27"/>
        </w:rPr>
        <w:t>e.</w:t>
      </w:r>
      <w:r w:rsidRPr="00447551">
        <w:rPr>
          <w:rFonts w:ascii="Times New Roman" w:eastAsia="Times New Roman" w:hAnsi="Times New Roman" w:cs="Times New Roman"/>
          <w:color w:val="000000"/>
          <w:sz w:val="27"/>
          <w:szCs w:val="27"/>
        </w:rPr>
        <w:t>         Allowable (Because no attest services are provided, the PCAOB allows this)</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sz w:val="27"/>
          <w:szCs w:val="27"/>
        </w:rPr>
        <w:t>f.</w:t>
      </w:r>
      <w:r w:rsidRPr="00447551">
        <w:rPr>
          <w:rFonts w:ascii="Times New Roman" w:eastAsia="Times New Roman" w:hAnsi="Times New Roman" w:cs="Times New Roman"/>
          <w:color w:val="000000"/>
          <w:sz w:val="27"/>
          <w:szCs w:val="27"/>
        </w:rPr>
        <w:t>          Allowable (Because no attest services are provided, the PCAOB allows this)</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sz w:val="27"/>
          <w:szCs w:val="27"/>
        </w:rPr>
        <w:t>g.</w:t>
      </w:r>
      <w:r w:rsidRPr="00447551">
        <w:rPr>
          <w:rFonts w:ascii="Times New Roman" w:eastAsia="Times New Roman" w:hAnsi="Times New Roman" w:cs="Times New Roman"/>
          <w:color w:val="000000"/>
          <w:sz w:val="27"/>
          <w:szCs w:val="27"/>
        </w:rPr>
        <w:t>         Allowable</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sz w:val="27"/>
          <w:szCs w:val="27"/>
        </w:rPr>
        <w:t>h.</w:t>
      </w:r>
      <w:r w:rsidRPr="00447551">
        <w:rPr>
          <w:rFonts w:ascii="Times New Roman" w:eastAsia="Times New Roman" w:hAnsi="Times New Roman" w:cs="Times New Roman"/>
          <w:color w:val="000000"/>
          <w:sz w:val="27"/>
          <w:szCs w:val="27"/>
        </w:rPr>
        <w:t>         Not allowable (AICPA rules prohibit this when amounts are subjectively determined and material)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sz w:val="27"/>
          <w:szCs w:val="27"/>
        </w:rPr>
        <w:t>i.</w:t>
      </w:r>
      <w:r w:rsidRPr="00447551">
        <w:rPr>
          <w:rFonts w:ascii="Times New Roman" w:eastAsia="Times New Roman" w:hAnsi="Times New Roman" w:cs="Times New Roman"/>
          <w:color w:val="000000"/>
          <w:sz w:val="27"/>
          <w:szCs w:val="27"/>
        </w:rPr>
        <w:t>          Not allowable (Both AICPA and PCAOB rules prohibit this when amounts are subjectively determined and material)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sz w:val="27"/>
          <w:szCs w:val="27"/>
        </w:rPr>
        <w:t>j.</w:t>
      </w:r>
      <w:r w:rsidRPr="00447551">
        <w:rPr>
          <w:rFonts w:ascii="Times New Roman" w:eastAsia="Times New Roman" w:hAnsi="Times New Roman" w:cs="Times New Roman"/>
          <w:color w:val="000000"/>
          <w:sz w:val="27"/>
          <w:szCs w:val="27"/>
        </w:rPr>
        <w:t>          Not allowable (PCAOB rules prohibit)</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sz w:val="27"/>
          <w:szCs w:val="27"/>
        </w:rPr>
        <w:t> </w:t>
      </w:r>
    </w:p>
    <w:p w:rsidR="00447551" w:rsidRPr="00447551" w:rsidRDefault="00447551" w:rsidP="00447551">
      <w:pPr>
        <w:spacing w:after="0" w:line="240" w:lineRule="auto"/>
        <w:ind w:left="1440" w:hanging="1440"/>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color w:val="000000"/>
        </w:rPr>
        <w:t>3–34     </w:t>
      </w:r>
      <w:r w:rsidRPr="00447551">
        <w:rPr>
          <w:rFonts w:ascii="Times New Roman" w:eastAsia="Times New Roman" w:hAnsi="Times New Roman" w:cs="Times New Roman"/>
          <w:i/>
          <w:iCs/>
          <w:color w:val="000000"/>
        </w:rPr>
        <w:t>a.</w:t>
      </w:r>
      <w:proofErr w:type="gramEnd"/>
      <w:r w:rsidRPr="00447551">
        <w:rPr>
          <w:rFonts w:ascii="Times New Roman" w:eastAsia="Times New Roman" w:hAnsi="Times New Roman" w:cs="Times New Roman"/>
          <w:color w:val="000000"/>
        </w:rPr>
        <w:t>         No.  The information provided does not indicate a violation of the AICPA </w:t>
      </w:r>
      <w:r w:rsidRPr="00447551">
        <w:rPr>
          <w:rFonts w:ascii="Times New Roman" w:eastAsia="Times New Roman" w:hAnsi="Times New Roman" w:cs="Times New Roman"/>
          <w:i/>
          <w:iCs/>
          <w:color w:val="000000"/>
        </w:rPr>
        <w:t>Code of Professional Conduct</w:t>
      </w:r>
      <w:r w:rsidRPr="00447551">
        <w:rPr>
          <w:rFonts w:ascii="Times New Roman" w:eastAsia="Times New Roman" w:hAnsi="Times New Roman" w:cs="Times New Roman"/>
          <w:color w:val="000000"/>
        </w:rPr>
        <w:t xml:space="preserve">.  Zabish may offer to perform the service on a contingent fee basis </w:t>
      </w:r>
      <w:r w:rsidRPr="00447551">
        <w:rPr>
          <w:rFonts w:ascii="Times New Roman" w:eastAsia="Times New Roman" w:hAnsi="Times New Roman" w:cs="Times New Roman"/>
          <w:color w:val="000000"/>
        </w:rPr>
        <w:lastRenderedPageBreak/>
        <w:t>because she does not perform financial statement audits, reviews or certain compilations or prospective financial information examinations for Westerman Corporation.</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i/>
          <w:iCs/>
          <w:color w:val="000000"/>
        </w:rPr>
        <w:t>b</w:t>
      </w:r>
      <w:proofErr w:type="gramEnd"/>
      <w:r w:rsidRPr="00447551">
        <w:rPr>
          <w:rFonts w:ascii="Times New Roman" w:eastAsia="Times New Roman" w:hAnsi="Times New Roman" w:cs="Times New Roman"/>
          <w:i/>
          <w:iCs/>
          <w:color w:val="000000"/>
        </w:rPr>
        <w:t>.</w:t>
      </w:r>
      <w:r w:rsidRPr="00447551">
        <w:rPr>
          <w:rFonts w:ascii="Times New Roman" w:eastAsia="Times New Roman" w:hAnsi="Times New Roman" w:cs="Times New Roman"/>
          <w:color w:val="000000"/>
        </w:rPr>
        <w:t>         No.  The information provided does not indicate a violation of the AICPA </w:t>
      </w:r>
      <w:r w:rsidRPr="00447551">
        <w:rPr>
          <w:rFonts w:ascii="Times New Roman" w:eastAsia="Times New Roman" w:hAnsi="Times New Roman" w:cs="Times New Roman"/>
          <w:i/>
          <w:iCs/>
          <w:color w:val="000000"/>
        </w:rPr>
        <w:t>Code of Professional Conduct</w:t>
      </w:r>
      <w:r w:rsidRPr="00447551">
        <w:rPr>
          <w:rFonts w:ascii="Times New Roman" w:eastAsia="Times New Roman" w:hAnsi="Times New Roman" w:cs="Times New Roman"/>
          <w:color w:val="000000"/>
        </w:rPr>
        <w:t>.  Although Zabrinski performs audits for Westerman Corporation, his firm may perform such services for the $30,000 fixed fee.</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c.</w:t>
      </w:r>
      <w:r w:rsidRPr="00447551">
        <w:rPr>
          <w:rFonts w:ascii="Times New Roman" w:eastAsia="Times New Roman" w:hAnsi="Times New Roman" w:cs="Times New Roman"/>
          <w:color w:val="000000"/>
        </w:rPr>
        <w:t>          Yes.  Rule 302 of the AICPA </w:t>
      </w:r>
      <w:r w:rsidRPr="00447551">
        <w:rPr>
          <w:rFonts w:ascii="Times New Roman" w:eastAsia="Times New Roman" w:hAnsi="Times New Roman" w:cs="Times New Roman"/>
          <w:i/>
          <w:iCs/>
          <w:color w:val="000000"/>
        </w:rPr>
        <w:t>Code of Professional Conduct</w:t>
      </w:r>
      <w:r w:rsidRPr="00447551">
        <w:rPr>
          <w:rFonts w:ascii="Times New Roman" w:eastAsia="Times New Roman" w:hAnsi="Times New Roman" w:cs="Times New Roman"/>
          <w:color w:val="000000"/>
        </w:rPr>
        <w:t> prohibits the performance of such services for a contingent fee when the public accounting firm performs financial statement audits for the client.  Therefore, Zabrinski cannot provide the service for a contingent fee without violating the </w:t>
      </w:r>
      <w:r w:rsidRPr="00447551">
        <w:rPr>
          <w:rFonts w:ascii="Times New Roman" w:eastAsia="Times New Roman" w:hAnsi="Times New Roman" w:cs="Times New Roman"/>
          <w:i/>
          <w:iCs/>
          <w:color w:val="000000"/>
        </w:rPr>
        <w:t>Code</w:t>
      </w:r>
      <w:r w:rsidRPr="00447551">
        <w:rPr>
          <w:rFonts w:ascii="Times New Roman" w:eastAsia="Times New Roman" w:hAnsi="Times New Roman" w:cs="Times New Roman"/>
          <w:color w:val="000000"/>
        </w:rPr>
        <w:t>.</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i/>
          <w:iCs/>
          <w:color w:val="000000"/>
        </w:rPr>
        <w:t>d</w:t>
      </w:r>
      <w:proofErr w:type="gramEnd"/>
      <w:r w:rsidRPr="00447551">
        <w:rPr>
          <w:rFonts w:ascii="Times New Roman" w:eastAsia="Times New Roman" w:hAnsi="Times New Roman" w:cs="Times New Roman"/>
          <w:i/>
          <w:iCs/>
          <w:color w:val="000000"/>
        </w:rPr>
        <w:t>.</w:t>
      </w:r>
      <w:r w:rsidRPr="00447551">
        <w:rPr>
          <w:rFonts w:ascii="Times New Roman" w:eastAsia="Times New Roman" w:hAnsi="Times New Roman" w:cs="Times New Roman"/>
          <w:color w:val="000000"/>
        </w:rPr>
        <w:t>         No.  Zabish may still provide the service on a contingent fee basis.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e.</w:t>
      </w:r>
      <w:r w:rsidRPr="00447551">
        <w:rPr>
          <w:rFonts w:ascii="Times New Roman" w:eastAsia="Times New Roman" w:hAnsi="Times New Roman" w:cs="Times New Roman"/>
          <w:color w:val="000000"/>
        </w:rPr>
        <w:t>          Yes.  Since the Sarbanes-Oxley Act prohibits the provision of financial information systems design and implementation services for an audit client (independence is impaired) Zabrinski cannot provide the service, even for a fixed fee.</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1440"/>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color w:val="000000"/>
        </w:rPr>
        <w:t>3–35     </w:t>
      </w:r>
      <w:r w:rsidRPr="00447551">
        <w:rPr>
          <w:rFonts w:ascii="Times New Roman" w:eastAsia="Times New Roman" w:hAnsi="Times New Roman" w:cs="Times New Roman"/>
          <w:i/>
          <w:iCs/>
          <w:color w:val="000000"/>
        </w:rPr>
        <w:t>a.</w:t>
      </w:r>
      <w:proofErr w:type="gramEnd"/>
      <w:r w:rsidRPr="00447551">
        <w:rPr>
          <w:rFonts w:ascii="Times New Roman" w:eastAsia="Times New Roman" w:hAnsi="Times New Roman" w:cs="Times New Roman"/>
          <w:color w:val="000000"/>
        </w:rPr>
        <w:t>         Both McGraw’s and the firm’s independence is impaired because part C of Interpretation 101-1 requires that an employee not be an officer in an attest client and because immediate family members (in this case her husband) ordinarily have the same requirements as the CPA.  The only exceptions for immediate family members relate to the situation in which the family member is in </w:t>
      </w:r>
      <w:r w:rsidRPr="00447551">
        <w:rPr>
          <w:rFonts w:ascii="Times New Roman" w:eastAsia="Times New Roman" w:hAnsi="Times New Roman" w:cs="Times New Roman"/>
          <w:i/>
          <w:iCs/>
          <w:color w:val="000000"/>
        </w:rPr>
        <w:t>other than </w:t>
      </w:r>
      <w:r w:rsidRPr="00447551">
        <w:rPr>
          <w:rFonts w:ascii="Times New Roman" w:eastAsia="Times New Roman" w:hAnsi="Times New Roman" w:cs="Times New Roman"/>
          <w:color w:val="000000"/>
        </w:rPr>
        <w:t>a key position.</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b.</w:t>
      </w:r>
      <w:r w:rsidRPr="00447551">
        <w:rPr>
          <w:rFonts w:ascii="Times New Roman" w:eastAsia="Times New Roman" w:hAnsi="Times New Roman" w:cs="Times New Roman"/>
          <w:color w:val="000000"/>
        </w:rPr>
        <w:t>         Neither West's nor the firm's independence is impaired because West is unaware of the investment.  Note, however, that if West becomes aware of his father's investment, he should not participate in the engagement.</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c.</w:t>
      </w:r>
      <w:r w:rsidRPr="00447551">
        <w:rPr>
          <w:rFonts w:ascii="Times New Roman" w:eastAsia="Times New Roman" w:hAnsi="Times New Roman" w:cs="Times New Roman"/>
          <w:color w:val="000000"/>
        </w:rPr>
        <w:t>          Johnson's independence is impaired because of the investment.  Because he is not a covered member, firm independence is not impaired unless that investment is more than 5 percent of the client’s outstanding equity securities or other ownership interests</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d.</w:t>
      </w:r>
      <w:r w:rsidRPr="00447551">
        <w:rPr>
          <w:rFonts w:ascii="Times New Roman" w:eastAsia="Times New Roman" w:hAnsi="Times New Roman" w:cs="Times New Roman"/>
          <w:color w:val="000000"/>
        </w:rPr>
        <w:t>         Independence is not normally impaired by </w:t>
      </w:r>
      <w:r w:rsidRPr="00447551">
        <w:rPr>
          <w:rFonts w:ascii="Times New Roman" w:eastAsia="Times New Roman" w:hAnsi="Times New Roman" w:cs="Times New Roman"/>
          <w:b/>
          <w:bCs/>
          <w:i/>
          <w:iCs/>
          <w:color w:val="000000"/>
        </w:rPr>
        <w:t>other relatives</w:t>
      </w:r>
      <w:r w:rsidRPr="00447551">
        <w:rPr>
          <w:rFonts w:ascii="Times New Roman" w:eastAsia="Times New Roman" w:hAnsi="Times New Roman" w:cs="Times New Roman"/>
          <w:color w:val="000000"/>
        </w:rPr>
        <w:t>.  Accordingly, since uncles are not included as </w:t>
      </w:r>
      <w:r w:rsidRPr="00447551">
        <w:rPr>
          <w:rFonts w:ascii="Times New Roman" w:eastAsia="Times New Roman" w:hAnsi="Times New Roman" w:cs="Times New Roman"/>
          <w:b/>
          <w:bCs/>
          <w:i/>
          <w:iCs/>
          <w:color w:val="000000"/>
        </w:rPr>
        <w:t>close relatives,</w:t>
      </w:r>
      <w:r w:rsidRPr="00447551">
        <w:rPr>
          <w:rFonts w:ascii="Times New Roman" w:eastAsia="Times New Roman" w:hAnsi="Times New Roman" w:cs="Times New Roman"/>
          <w:color w:val="000000"/>
        </w:rPr>
        <w:t> independence is not specifically impaired.  However, that independence may be impaired in circumstances that would lead a reasonable person to question the CPA's independence.  Accordingly, the Phoenix office should consider assigning Steversen to other audits.</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e.</w:t>
      </w:r>
      <w:r w:rsidRPr="00447551">
        <w:rPr>
          <w:rFonts w:ascii="Times New Roman" w:eastAsia="Times New Roman" w:hAnsi="Times New Roman" w:cs="Times New Roman"/>
          <w:color w:val="000000"/>
        </w:rPr>
        <w:t>          Section B of Interpretation 101-1 indicates that all members of the CPA firm can own less than 5 percent of the client’s outstanding equity.  Accordingly, both Bill Adams and McGraw and West are not independent.</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color w:val="000000"/>
        </w:rPr>
        <w:t>3–36     </w:t>
      </w:r>
      <w:r w:rsidRPr="00447551">
        <w:rPr>
          <w:rFonts w:ascii="Times New Roman" w:eastAsia="Times New Roman" w:hAnsi="Times New Roman" w:cs="Times New Roman"/>
          <w:i/>
          <w:iCs/>
          <w:color w:val="000000"/>
        </w:rPr>
        <w:t>a.</w:t>
      </w:r>
      <w:proofErr w:type="gramEnd"/>
      <w:r w:rsidRPr="00447551">
        <w:rPr>
          <w:rFonts w:ascii="Times New Roman" w:eastAsia="Times New Roman" w:hAnsi="Times New Roman" w:cs="Times New Roman"/>
          <w:color w:val="000000"/>
        </w:rPr>
        <w:t>         Yes (accounting records must be returned).</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r w:rsidRPr="00447551">
        <w:rPr>
          <w:rFonts w:ascii="Times New Roman" w:eastAsia="Times New Roman" w:hAnsi="Times New Roman" w:cs="Times New Roman"/>
          <w:i/>
          <w:iCs/>
          <w:color w:val="000000"/>
        </w:rPr>
        <w:t>b.</w:t>
      </w:r>
      <w:r w:rsidRPr="00447551">
        <w:rPr>
          <w:rFonts w:ascii="Times New Roman" w:eastAsia="Times New Roman" w:hAnsi="Times New Roman" w:cs="Times New Roman"/>
          <w:color w:val="000000"/>
        </w:rPr>
        <w:t>         No</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r w:rsidRPr="00447551">
        <w:rPr>
          <w:rFonts w:ascii="Times New Roman" w:eastAsia="Times New Roman" w:hAnsi="Times New Roman" w:cs="Times New Roman"/>
          <w:i/>
          <w:iCs/>
          <w:color w:val="000000"/>
        </w:rPr>
        <w:t>c.</w:t>
      </w:r>
      <w:r w:rsidRPr="00447551">
        <w:rPr>
          <w:rFonts w:ascii="Times New Roman" w:eastAsia="Times New Roman" w:hAnsi="Times New Roman" w:cs="Times New Roman"/>
          <w:color w:val="000000"/>
        </w:rPr>
        <w:t>          No</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r w:rsidRPr="00447551">
        <w:rPr>
          <w:rFonts w:ascii="Times New Roman" w:eastAsia="Times New Roman" w:hAnsi="Times New Roman" w:cs="Times New Roman"/>
          <w:i/>
          <w:iCs/>
          <w:color w:val="000000"/>
        </w:rPr>
        <w:t>d.</w:t>
      </w:r>
      <w:r w:rsidRPr="00447551">
        <w:rPr>
          <w:rFonts w:ascii="Times New Roman" w:eastAsia="Times New Roman" w:hAnsi="Times New Roman" w:cs="Times New Roman"/>
          <w:color w:val="000000"/>
        </w:rPr>
        <w:t>         No</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r w:rsidRPr="00447551">
        <w:rPr>
          <w:rFonts w:ascii="Times New Roman" w:eastAsia="Times New Roman" w:hAnsi="Times New Roman" w:cs="Times New Roman"/>
          <w:i/>
          <w:iCs/>
          <w:color w:val="000000"/>
        </w:rPr>
        <w:t>e.</w:t>
      </w:r>
      <w:r w:rsidRPr="00447551">
        <w:rPr>
          <w:rFonts w:ascii="Times New Roman" w:eastAsia="Times New Roman" w:hAnsi="Times New Roman" w:cs="Times New Roman"/>
          <w:color w:val="000000"/>
        </w:rPr>
        <w:t>          Yes (consolidating entries are considered accounting records and must be returned).</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lastRenderedPageBreak/>
        <w:t xml:space="preserve">The overall rule here is that if the client has not been paid its fees, the firm is only </w:t>
      </w:r>
      <w:proofErr w:type="gramStart"/>
      <w:r w:rsidRPr="00447551">
        <w:rPr>
          <w:rFonts w:ascii="Times New Roman" w:eastAsia="Times New Roman" w:hAnsi="Times New Roman" w:cs="Times New Roman"/>
          <w:color w:val="000000"/>
        </w:rPr>
        <w:t>be</w:t>
      </w:r>
      <w:proofErr w:type="gramEnd"/>
      <w:r w:rsidRPr="00447551">
        <w:rPr>
          <w:rFonts w:ascii="Times New Roman" w:eastAsia="Times New Roman" w:hAnsi="Times New Roman" w:cs="Times New Roman"/>
          <w:color w:val="000000"/>
        </w:rPr>
        <w:t xml:space="preserve"> obligated to return the accounting records.  These records are the client’s property.  The firm’s work product need not be provided to the client. </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b/>
          <w:bCs/>
          <w:color w:val="000000"/>
        </w:rPr>
        <w:br w:type="page"/>
      </w:r>
      <w:r w:rsidRPr="00447551">
        <w:rPr>
          <w:rFonts w:ascii="Times New Roman" w:eastAsia="Times New Roman" w:hAnsi="Times New Roman" w:cs="Times New Roman"/>
          <w:b/>
          <w:bCs/>
          <w:color w:val="000000"/>
        </w:rPr>
        <w:lastRenderedPageBreak/>
        <w:t>Problems</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3–37     SOLUTION:  James Daleiden, CPA (Estimated time: 20 minutes)</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a.</w:t>
      </w:r>
      <w:r w:rsidRPr="00447551">
        <w:rPr>
          <w:rFonts w:ascii="Times New Roman" w:eastAsia="Times New Roman" w:hAnsi="Times New Roman" w:cs="Times New Roman"/>
          <w:color w:val="000000"/>
        </w:rPr>
        <w:t>         No violation.  There is no apparent violation in this circumstance because Rule 505 allows a CPA to use a fictitious firm name.</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b.</w:t>
      </w:r>
      <w:r w:rsidRPr="00447551">
        <w:rPr>
          <w:rFonts w:ascii="Times New Roman" w:eastAsia="Times New Roman" w:hAnsi="Times New Roman" w:cs="Times New Roman"/>
          <w:color w:val="000000"/>
        </w:rPr>
        <w:t>         No violation.  Distribution of such a flyer is acceptable when it is not false, misleading or deceptive.  While many would consider this quite unprofessional, it is nonetheless not prohibited.  Daleiden must make certain, however, that the $50 coupon truly represents a savings for the client, otherwise the advertising would be considered false, misleading, and deceptive.</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c.</w:t>
      </w:r>
      <w:r w:rsidRPr="00447551">
        <w:rPr>
          <w:rFonts w:ascii="Times New Roman" w:eastAsia="Times New Roman" w:hAnsi="Times New Roman" w:cs="Times New Roman"/>
          <w:color w:val="000000"/>
        </w:rPr>
        <w:t>          Violation.  Reviewing tax returns for a fee is considered equivalent to preparation, in terms of enforcement of Rule 302.  Since Rule 302 does not allow contingent fees for preparation of tax returns, the proposal of basing the fee on one-third of the savings would be considered unethical.</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d.</w:t>
      </w:r>
      <w:r w:rsidRPr="00447551">
        <w:rPr>
          <w:rFonts w:ascii="Times New Roman" w:eastAsia="Times New Roman" w:hAnsi="Times New Roman" w:cs="Times New Roman"/>
          <w:color w:val="000000"/>
        </w:rPr>
        <w:t>         No violation.  Paying a finders fee to associates would be considered acceptable under Rule 503 as long as the client is informed of the payment of the fee and so long as the CPAs do not perform a financial statement audit, review or certain compilations, or a prospective financial information examination for the client.</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e.</w:t>
      </w:r>
      <w:r w:rsidRPr="00447551">
        <w:rPr>
          <w:rFonts w:ascii="Times New Roman" w:eastAsia="Times New Roman" w:hAnsi="Times New Roman" w:cs="Times New Roman"/>
          <w:color w:val="000000"/>
        </w:rPr>
        <w:t>          No violation.  As long as he intends to give the discount, this is acceptable.</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1296"/>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color w:val="000000"/>
        </w:rPr>
        <w:t>3–38   </w:t>
      </w:r>
      <w:r w:rsidRPr="00447551">
        <w:rPr>
          <w:rFonts w:ascii="Times New Roman" w:eastAsia="Times New Roman" w:hAnsi="Times New Roman" w:cs="Times New Roman"/>
          <w:i/>
          <w:iCs/>
          <w:color w:val="000000"/>
        </w:rPr>
        <w:t>a.</w:t>
      </w:r>
      <w:proofErr w:type="gramEnd"/>
      <w:r w:rsidRPr="00447551">
        <w:rPr>
          <w:rFonts w:ascii="Times New Roman" w:eastAsia="Times New Roman" w:hAnsi="Times New Roman" w:cs="Times New Roman"/>
          <w:color w:val="000000"/>
        </w:rPr>
        <w:t>         Not definitely impaired.  The facts alone lead to an independent conclusion, but the </w:t>
      </w:r>
      <w:r w:rsidRPr="00447551">
        <w:rPr>
          <w:rFonts w:ascii="Times New Roman" w:eastAsia="Times New Roman" w:hAnsi="Times New Roman" w:cs="Times New Roman"/>
          <w:i/>
          <w:iCs/>
          <w:color w:val="000000"/>
        </w:rPr>
        <w:t>Code of Professional Conduct </w:t>
      </w:r>
      <w:r w:rsidRPr="00447551">
        <w:rPr>
          <w:rFonts w:ascii="Times New Roman" w:eastAsia="Times New Roman" w:hAnsi="Times New Roman" w:cs="Times New Roman"/>
          <w:color w:val="000000"/>
        </w:rPr>
        <w:t>states that CPAs should consider whether personal relationships between the CPA and the client would lead a reasonable person aware of all the relevant facts to conclude that there is an unacceptable threat to the CPA's independence.  Being a partner in the engagement office, he is a covered member, and therefore the firm’s independence would be impaired if his independence is deemed to be impaired.</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 b.</w:t>
      </w:r>
      <w:r w:rsidRPr="00447551">
        <w:rPr>
          <w:rFonts w:ascii="Times New Roman" w:eastAsia="Times New Roman" w:hAnsi="Times New Roman" w:cs="Times New Roman"/>
          <w:color w:val="000000"/>
        </w:rPr>
        <w:t>        Not definitely impaired.  While the partner's independence is impaired, the firm's independence is not impaired if the new partner does not participate in audits related to periods for which he or she served as the controller of Trek Corporation.</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c.</w:t>
      </w:r>
      <w:r w:rsidRPr="00447551">
        <w:rPr>
          <w:rFonts w:ascii="Times New Roman" w:eastAsia="Times New Roman" w:hAnsi="Times New Roman" w:cs="Times New Roman"/>
          <w:color w:val="000000"/>
        </w:rPr>
        <w:t>          Not definitely impaired.  The independence of the manager is impaired because of the business position of his father.  However, since he does not work on the engagement, the independence of the public accounting firm is not impaired.</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d.</w:t>
      </w:r>
      <w:r w:rsidRPr="00447551">
        <w:rPr>
          <w:rFonts w:ascii="Times New Roman" w:eastAsia="Times New Roman" w:hAnsi="Times New Roman" w:cs="Times New Roman"/>
          <w:color w:val="000000"/>
        </w:rPr>
        <w:t xml:space="preserve">         Definitely impaired.  Section </w:t>
      </w:r>
      <w:proofErr w:type="gramStart"/>
      <w:r w:rsidRPr="00447551">
        <w:rPr>
          <w:rFonts w:ascii="Times New Roman" w:eastAsia="Times New Roman" w:hAnsi="Times New Roman" w:cs="Times New Roman"/>
          <w:color w:val="000000"/>
        </w:rPr>
        <w:t>A</w:t>
      </w:r>
      <w:proofErr w:type="gramEnd"/>
      <w:r w:rsidRPr="00447551">
        <w:rPr>
          <w:rFonts w:ascii="Times New Roman" w:eastAsia="Times New Roman" w:hAnsi="Times New Roman" w:cs="Times New Roman"/>
          <w:color w:val="000000"/>
        </w:rPr>
        <w:t xml:space="preserve"> of Interpretation 101-1 specifically prohibits material joint ventures between directors of the client organization and covered members of the public accounting firm.  Since the partner is a covered member, both his and the firm’s independence </w:t>
      </w:r>
      <w:proofErr w:type="gramStart"/>
      <w:r w:rsidRPr="00447551">
        <w:rPr>
          <w:rFonts w:ascii="Times New Roman" w:eastAsia="Times New Roman" w:hAnsi="Times New Roman" w:cs="Times New Roman"/>
          <w:color w:val="000000"/>
        </w:rPr>
        <w:t>is</w:t>
      </w:r>
      <w:proofErr w:type="gramEnd"/>
      <w:r w:rsidRPr="00447551">
        <w:rPr>
          <w:rFonts w:ascii="Times New Roman" w:eastAsia="Times New Roman" w:hAnsi="Times New Roman" w:cs="Times New Roman"/>
          <w:color w:val="000000"/>
        </w:rPr>
        <w:t xml:space="preserve"> impaired.</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e.</w:t>
      </w:r>
      <w:r w:rsidRPr="00447551">
        <w:rPr>
          <w:rFonts w:ascii="Times New Roman" w:eastAsia="Times New Roman" w:hAnsi="Times New Roman" w:cs="Times New Roman"/>
          <w:color w:val="000000"/>
        </w:rPr>
        <w:t>          Definitely impaired.  Fees that are long overdue may create the impression that the auditors' prospects for collection depend upon the nature of the auditors' report on the current year's financial statements.  Thus, independence is impaired if professional fees for services rendered in prior years are not collected prior to the issuance of the auditors' report for the current year.  Of course, this independence problem can be resolved immediately by Trek Corporation paying this liability.</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lastRenderedPageBreak/>
        <w:t> </w:t>
      </w:r>
    </w:p>
    <w:p w:rsidR="00447551" w:rsidRPr="00447551" w:rsidRDefault="00447551" w:rsidP="00447551">
      <w:pPr>
        <w:spacing w:after="0" w:line="240" w:lineRule="auto"/>
        <w:ind w:left="1440" w:hanging="1440"/>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color w:val="000000"/>
        </w:rPr>
        <w:t>3–39     </w:t>
      </w:r>
      <w:r w:rsidRPr="00447551">
        <w:rPr>
          <w:rFonts w:ascii="Times New Roman" w:eastAsia="Times New Roman" w:hAnsi="Times New Roman" w:cs="Times New Roman"/>
          <w:i/>
          <w:iCs/>
          <w:color w:val="000000"/>
        </w:rPr>
        <w:t>a.</w:t>
      </w:r>
      <w:proofErr w:type="gramEnd"/>
      <w:r w:rsidRPr="00447551">
        <w:rPr>
          <w:rFonts w:ascii="Times New Roman" w:eastAsia="Times New Roman" w:hAnsi="Times New Roman" w:cs="Times New Roman"/>
          <w:color w:val="000000"/>
        </w:rPr>
        <w:t>         Independence is impaired.  As a partner in the office of the lead auditor (Chicago), Johnson is a covered member, and is prohibited from having, among other things, a direct investment in Gillington.</w:t>
      </w:r>
    </w:p>
    <w:p w:rsidR="00447551" w:rsidRPr="00447551" w:rsidRDefault="00447551" w:rsidP="00447551">
      <w:pPr>
        <w:spacing w:after="0" w:line="240" w:lineRule="auto"/>
        <w:ind w:left="1440" w:hanging="144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144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r w:rsidRPr="00447551">
        <w:rPr>
          <w:rFonts w:ascii="Times New Roman" w:eastAsia="Times New Roman" w:hAnsi="Times New Roman" w:cs="Times New Roman"/>
          <w:i/>
          <w:iCs/>
          <w:color w:val="000000"/>
        </w:rPr>
        <w:t>b.</w:t>
      </w:r>
      <w:r w:rsidRPr="00447551">
        <w:rPr>
          <w:rFonts w:ascii="Times New Roman" w:eastAsia="Times New Roman" w:hAnsi="Times New Roman" w:cs="Times New Roman"/>
          <w:color w:val="000000"/>
        </w:rPr>
        <w:t>         Independence is not impaired.  As a partner in an office other than that of the lead auditor, Gizmo’s investment does not impair independence.</w:t>
      </w:r>
    </w:p>
    <w:p w:rsidR="00447551" w:rsidRPr="00447551" w:rsidRDefault="00447551" w:rsidP="00447551">
      <w:pPr>
        <w:spacing w:after="0" w:line="240" w:lineRule="auto"/>
        <w:ind w:left="1440" w:hanging="144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144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r w:rsidRPr="00447551">
        <w:rPr>
          <w:rFonts w:ascii="Times New Roman" w:eastAsia="Times New Roman" w:hAnsi="Times New Roman" w:cs="Times New Roman"/>
          <w:i/>
          <w:iCs/>
          <w:color w:val="000000"/>
        </w:rPr>
        <w:t>c.</w:t>
      </w:r>
      <w:r w:rsidRPr="00447551">
        <w:rPr>
          <w:rFonts w:ascii="Times New Roman" w:eastAsia="Times New Roman" w:hAnsi="Times New Roman" w:cs="Times New Roman"/>
          <w:color w:val="000000"/>
        </w:rPr>
        <w:t>          Independence is impaired.  The restriction on financial interests of more than 5 percent of an attest client’s equity securities apply to all firm personnel and, therefore, Masterson’s investment would impair independence.</w:t>
      </w:r>
    </w:p>
    <w:p w:rsidR="00447551" w:rsidRPr="00447551" w:rsidRDefault="00447551" w:rsidP="00447551">
      <w:pPr>
        <w:spacing w:after="0" w:line="240" w:lineRule="auto"/>
        <w:ind w:left="1440" w:hanging="144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144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r w:rsidRPr="00447551">
        <w:rPr>
          <w:rFonts w:ascii="Times New Roman" w:eastAsia="Times New Roman" w:hAnsi="Times New Roman" w:cs="Times New Roman"/>
          <w:i/>
          <w:iCs/>
          <w:color w:val="000000"/>
        </w:rPr>
        <w:t>d.</w:t>
      </w:r>
      <w:r w:rsidRPr="00447551">
        <w:rPr>
          <w:rFonts w:ascii="Times New Roman" w:eastAsia="Times New Roman" w:hAnsi="Times New Roman" w:cs="Times New Roman"/>
          <w:color w:val="000000"/>
        </w:rPr>
        <w:t>         Independence is impaired.  Schilling, as part in charge of the entire firm is a covered member, and is prohibited from having among other things, a direct or material indirect financial interest in Gillington.</w:t>
      </w:r>
    </w:p>
    <w:p w:rsidR="00447551" w:rsidRPr="00447551" w:rsidRDefault="00447551" w:rsidP="00447551">
      <w:pPr>
        <w:spacing w:after="0" w:line="240" w:lineRule="auto"/>
        <w:ind w:left="1440" w:hanging="144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144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r w:rsidRPr="00447551">
        <w:rPr>
          <w:rFonts w:ascii="Times New Roman" w:eastAsia="Times New Roman" w:hAnsi="Times New Roman" w:cs="Times New Roman"/>
          <w:i/>
          <w:iCs/>
          <w:color w:val="000000"/>
        </w:rPr>
        <w:t>e.</w:t>
      </w:r>
      <w:r w:rsidRPr="00447551">
        <w:rPr>
          <w:rFonts w:ascii="Times New Roman" w:eastAsia="Times New Roman" w:hAnsi="Times New Roman" w:cs="Times New Roman"/>
          <w:color w:val="000000"/>
        </w:rPr>
        <w:t>          Independence is impaired.  Because Gorman participates in the Gillington audit and has knowledge of a close relative’s material investment, independence is impaired.</w:t>
      </w:r>
    </w:p>
    <w:p w:rsidR="00447551" w:rsidRPr="00447551" w:rsidRDefault="00447551" w:rsidP="00447551">
      <w:pPr>
        <w:spacing w:after="0" w:line="240" w:lineRule="auto"/>
        <w:ind w:left="1440" w:hanging="144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rPr>
          <w:rFonts w:ascii="Courier" w:eastAsia="Times New Roman" w:hAnsi="Courier" w:cs="Times New Roman"/>
          <w:color w:val="000000"/>
          <w:sz w:val="27"/>
          <w:szCs w:val="27"/>
        </w:rPr>
      </w:pPr>
      <w:proofErr w:type="gramStart"/>
      <w:r w:rsidRPr="00447551">
        <w:rPr>
          <w:rFonts w:ascii="Times New Roman" w:eastAsia="Times New Roman" w:hAnsi="Times New Roman" w:cs="Times New Roman"/>
          <w:color w:val="000000"/>
        </w:rPr>
        <w:t>3-40      </w:t>
      </w:r>
      <w:r w:rsidRPr="00447551">
        <w:rPr>
          <w:rFonts w:ascii="Times New Roman" w:eastAsia="Times New Roman" w:hAnsi="Times New Roman" w:cs="Times New Roman"/>
          <w:i/>
          <w:iCs/>
          <w:color w:val="000000"/>
        </w:rPr>
        <w:t>a.</w:t>
      </w:r>
      <w:proofErr w:type="gramEnd"/>
      <w:r w:rsidRPr="00447551">
        <w:rPr>
          <w:rFonts w:ascii="Times New Roman" w:eastAsia="Times New Roman" w:hAnsi="Times New Roman" w:cs="Times New Roman"/>
          <w:color w:val="000000"/>
        </w:rPr>
        <w:t>        </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tbl>
      <w:tblPr>
        <w:tblW w:w="0" w:type="auto"/>
        <w:tblInd w:w="828" w:type="dxa"/>
        <w:tblCellMar>
          <w:left w:w="0" w:type="dxa"/>
          <w:right w:w="0" w:type="dxa"/>
        </w:tblCellMar>
        <w:tblLook w:val="04A0"/>
      </w:tblPr>
      <w:tblGrid>
        <w:gridCol w:w="1079"/>
        <w:gridCol w:w="3231"/>
        <w:gridCol w:w="1530"/>
        <w:gridCol w:w="2908"/>
      </w:tblGrid>
      <w:tr w:rsidR="00447551" w:rsidRPr="00447551" w:rsidTr="00447551">
        <w:tc>
          <w:tcPr>
            <w:tcW w:w="10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jc w:val="center"/>
              <w:rPr>
                <w:rFonts w:ascii="Courier" w:eastAsia="Times New Roman" w:hAnsi="Courier" w:cs="Times New Roman"/>
                <w:sz w:val="24"/>
                <w:szCs w:val="24"/>
              </w:rPr>
            </w:pPr>
            <w:r w:rsidRPr="00447551">
              <w:rPr>
                <w:rFonts w:ascii="Times New Roman" w:eastAsia="Times New Roman" w:hAnsi="Times New Roman" w:cs="Times New Roman"/>
              </w:rPr>
              <w:t> </w:t>
            </w:r>
          </w:p>
          <w:p w:rsidR="00447551" w:rsidRPr="00447551" w:rsidRDefault="00447551" w:rsidP="00447551">
            <w:pPr>
              <w:spacing w:after="0" w:line="240" w:lineRule="auto"/>
              <w:jc w:val="center"/>
              <w:rPr>
                <w:rFonts w:ascii="Courier" w:eastAsia="Times New Roman" w:hAnsi="Courier" w:cs="Times New Roman"/>
                <w:sz w:val="24"/>
                <w:szCs w:val="24"/>
              </w:rPr>
            </w:pPr>
            <w:r w:rsidRPr="00447551">
              <w:rPr>
                <w:rFonts w:ascii="Times New Roman" w:eastAsia="Times New Roman" w:hAnsi="Times New Roman" w:cs="Times New Roman"/>
                <w:b/>
                <w:bCs/>
              </w:rPr>
              <w:t>Situation</w:t>
            </w:r>
          </w:p>
          <w:p w:rsidR="00447551" w:rsidRPr="00447551" w:rsidRDefault="00447551" w:rsidP="00447551">
            <w:pPr>
              <w:spacing w:after="0" w:line="240" w:lineRule="auto"/>
              <w:jc w:val="center"/>
              <w:rPr>
                <w:rFonts w:ascii="Courier" w:eastAsia="Times New Roman" w:hAnsi="Courier" w:cs="Times New Roman"/>
                <w:sz w:val="24"/>
                <w:szCs w:val="24"/>
              </w:rPr>
            </w:pPr>
            <w:r w:rsidRPr="00447551">
              <w:rPr>
                <w:rFonts w:ascii="Times New Roman" w:eastAsia="Times New Roman" w:hAnsi="Times New Roman" w:cs="Times New Roman"/>
                <w:b/>
                <w:bCs/>
              </w:rPr>
              <w:t>Number</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 </w:t>
            </w:r>
          </w:p>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 </w:t>
            </w:r>
          </w:p>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b/>
                <w:bCs/>
              </w:rPr>
              <w:t>Service Description</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b/>
                <w:bCs/>
              </w:rPr>
              <w:t>Independence Impaired (Yes, No, or Indeter-minate)</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 </w:t>
            </w:r>
          </w:p>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b/>
                <w:bCs/>
              </w:rPr>
              <w:t>Additional Information Needed for "Indeterminate" Replies</w:t>
            </w:r>
          </w:p>
        </w:tc>
      </w:tr>
      <w:tr w:rsidR="00447551" w:rsidRPr="00447551" w:rsidTr="00447551">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jc w:val="center"/>
              <w:rPr>
                <w:rFonts w:ascii="Courier" w:eastAsia="Times New Roman" w:hAnsi="Courier" w:cs="Times New Roman"/>
                <w:sz w:val="24"/>
                <w:szCs w:val="24"/>
              </w:rPr>
            </w:pPr>
            <w:r w:rsidRPr="00447551">
              <w:rPr>
                <w:rFonts w:ascii="Times New Roman" w:eastAsia="Times New Roman" w:hAnsi="Times New Roman" w:cs="Times New Roman"/>
              </w:rPr>
              <w:t>1</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Customize and implement a prepackaged payroll system.</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Indeterminate</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Whether client makes all management decisions relating to the system.</w:t>
            </w:r>
          </w:p>
        </w:tc>
      </w:tr>
      <w:tr w:rsidR="00447551" w:rsidRPr="00447551" w:rsidTr="00447551">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jc w:val="center"/>
              <w:rPr>
                <w:rFonts w:ascii="Courier" w:eastAsia="Times New Roman" w:hAnsi="Courier" w:cs="Times New Roman"/>
                <w:sz w:val="24"/>
                <w:szCs w:val="24"/>
              </w:rPr>
            </w:pPr>
            <w:r w:rsidRPr="00447551">
              <w:rPr>
                <w:rFonts w:ascii="Times New Roman" w:eastAsia="Times New Roman" w:hAnsi="Times New Roman" w:cs="Times New Roman"/>
              </w:rPr>
              <w:t>2</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Manage the portion of a client's local area network system related to payroll.</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Yes</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 </w:t>
            </w:r>
          </w:p>
        </w:tc>
      </w:tr>
      <w:tr w:rsidR="00447551" w:rsidRPr="00447551" w:rsidTr="00447551">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jc w:val="center"/>
              <w:rPr>
                <w:rFonts w:ascii="Courier" w:eastAsia="Times New Roman" w:hAnsi="Courier" w:cs="Times New Roman"/>
                <w:sz w:val="24"/>
                <w:szCs w:val="24"/>
              </w:rPr>
            </w:pPr>
            <w:r w:rsidRPr="00447551">
              <w:rPr>
                <w:rFonts w:ascii="Times New Roman" w:eastAsia="Times New Roman" w:hAnsi="Times New Roman" w:cs="Times New Roman"/>
              </w:rPr>
              <w:t>3</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 xml:space="preserve">Using payroll time records approved by </w:t>
            </w:r>
            <w:proofErr w:type="gramStart"/>
            <w:r w:rsidRPr="00447551">
              <w:rPr>
                <w:rFonts w:ascii="Times New Roman" w:eastAsia="Times New Roman" w:hAnsi="Times New Roman" w:cs="Times New Roman"/>
              </w:rPr>
              <w:t>management,</w:t>
            </w:r>
            <w:proofErr w:type="gramEnd"/>
            <w:r w:rsidRPr="00447551">
              <w:rPr>
                <w:rFonts w:ascii="Times New Roman" w:eastAsia="Times New Roman" w:hAnsi="Times New Roman" w:cs="Times New Roman"/>
              </w:rPr>
              <w:t xml:space="preserve"> generate unsigned payroll checks on a continuing basis for the client; the client signs the checks.</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No</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 </w:t>
            </w:r>
          </w:p>
        </w:tc>
      </w:tr>
      <w:tr w:rsidR="00447551" w:rsidRPr="00447551" w:rsidTr="00447551">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jc w:val="center"/>
              <w:rPr>
                <w:rFonts w:ascii="Courier" w:eastAsia="Times New Roman" w:hAnsi="Courier" w:cs="Times New Roman"/>
                <w:sz w:val="24"/>
                <w:szCs w:val="24"/>
              </w:rPr>
            </w:pPr>
            <w:r w:rsidRPr="00447551">
              <w:rPr>
                <w:rFonts w:ascii="Times New Roman" w:eastAsia="Times New Roman" w:hAnsi="Times New Roman" w:cs="Times New Roman"/>
              </w:rPr>
              <w:t>4</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Prepare the payroll tax return form and sign it on behalf of management.</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Yes</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 </w:t>
            </w:r>
          </w:p>
        </w:tc>
      </w:tr>
      <w:tr w:rsidR="00447551" w:rsidRPr="00447551" w:rsidTr="00447551">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jc w:val="center"/>
              <w:rPr>
                <w:rFonts w:ascii="Courier" w:eastAsia="Times New Roman" w:hAnsi="Courier" w:cs="Times New Roman"/>
                <w:sz w:val="24"/>
                <w:szCs w:val="24"/>
              </w:rPr>
            </w:pPr>
            <w:r w:rsidRPr="00447551">
              <w:rPr>
                <w:rFonts w:ascii="Times New Roman" w:eastAsia="Times New Roman" w:hAnsi="Times New Roman" w:cs="Times New Roman"/>
              </w:rPr>
              <w:t>5</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Approve employee time cards.</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Yes</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 </w:t>
            </w:r>
          </w:p>
        </w:tc>
      </w:tr>
      <w:tr w:rsidR="00447551" w:rsidRPr="00447551" w:rsidTr="00447551">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jc w:val="center"/>
              <w:rPr>
                <w:rFonts w:ascii="Courier" w:eastAsia="Times New Roman" w:hAnsi="Courier" w:cs="Times New Roman"/>
                <w:sz w:val="24"/>
                <w:szCs w:val="24"/>
              </w:rPr>
            </w:pPr>
            <w:r w:rsidRPr="00447551">
              <w:rPr>
                <w:rFonts w:ascii="Times New Roman" w:eastAsia="Times New Roman" w:hAnsi="Times New Roman" w:cs="Times New Roman"/>
              </w:rPr>
              <w:t>6</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Accept responsibility to sign payroll checks, but only in emergency situations.</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Yes</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 </w:t>
            </w:r>
          </w:p>
        </w:tc>
      </w:tr>
      <w:tr w:rsidR="00447551" w:rsidRPr="00447551" w:rsidTr="00447551">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jc w:val="center"/>
              <w:rPr>
                <w:rFonts w:ascii="Courier" w:eastAsia="Times New Roman" w:hAnsi="Courier" w:cs="Times New Roman"/>
                <w:sz w:val="24"/>
                <w:szCs w:val="24"/>
              </w:rPr>
            </w:pPr>
            <w:r w:rsidRPr="00447551">
              <w:rPr>
                <w:rFonts w:ascii="Times New Roman" w:eastAsia="Times New Roman" w:hAnsi="Times New Roman" w:cs="Times New Roman"/>
              </w:rPr>
              <w:t>7</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Monitor employee time cards and make changes when errors are detected.</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Indeterminate</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Whether management approves the changes.</w:t>
            </w:r>
          </w:p>
        </w:tc>
      </w:tr>
      <w:tr w:rsidR="00447551" w:rsidRPr="00447551" w:rsidTr="00447551">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jc w:val="center"/>
              <w:rPr>
                <w:rFonts w:ascii="Courier" w:eastAsia="Times New Roman" w:hAnsi="Courier" w:cs="Times New Roman"/>
                <w:sz w:val="24"/>
                <w:szCs w:val="24"/>
              </w:rPr>
            </w:pPr>
            <w:r w:rsidRPr="00447551">
              <w:rPr>
                <w:rFonts w:ascii="Times New Roman" w:eastAsia="Times New Roman" w:hAnsi="Times New Roman" w:cs="Times New Roman"/>
              </w:rPr>
              <w:t>8</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Post client-approved entries to client's trial balance.</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No</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 </w:t>
            </w:r>
          </w:p>
        </w:tc>
      </w:tr>
      <w:tr w:rsidR="00447551" w:rsidRPr="00447551" w:rsidTr="00447551">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jc w:val="center"/>
              <w:rPr>
                <w:rFonts w:ascii="Courier" w:eastAsia="Times New Roman" w:hAnsi="Courier" w:cs="Times New Roman"/>
                <w:sz w:val="24"/>
                <w:szCs w:val="24"/>
              </w:rPr>
            </w:pPr>
            <w:r w:rsidRPr="00447551">
              <w:rPr>
                <w:rFonts w:ascii="Times New Roman" w:eastAsia="Times New Roman" w:hAnsi="Times New Roman" w:cs="Times New Roman"/>
              </w:rPr>
              <w:t>9</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 xml:space="preserve">Provide all of the initial training </w:t>
            </w:r>
            <w:r w:rsidRPr="00447551">
              <w:rPr>
                <w:rFonts w:ascii="Times New Roman" w:eastAsia="Times New Roman" w:hAnsi="Times New Roman" w:cs="Times New Roman"/>
              </w:rPr>
              <w:lastRenderedPageBreak/>
              <w:t xml:space="preserve">and instruction to client employees on </w:t>
            </w:r>
            <w:proofErr w:type="gramStart"/>
            <w:r w:rsidRPr="00447551">
              <w:rPr>
                <w:rFonts w:ascii="Times New Roman" w:eastAsia="Times New Roman" w:hAnsi="Times New Roman" w:cs="Times New Roman"/>
              </w:rPr>
              <w:t>a newly</w:t>
            </w:r>
            <w:proofErr w:type="gramEnd"/>
            <w:r w:rsidRPr="00447551">
              <w:rPr>
                <w:rFonts w:ascii="Times New Roman" w:eastAsia="Times New Roman" w:hAnsi="Times New Roman" w:cs="Times New Roman"/>
              </w:rPr>
              <w:t xml:space="preserve"> implemented payroll information and control system.</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lastRenderedPageBreak/>
              <w:t>No</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 </w:t>
            </w:r>
          </w:p>
        </w:tc>
      </w:tr>
      <w:tr w:rsidR="00447551" w:rsidRPr="00447551" w:rsidTr="00447551">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jc w:val="center"/>
              <w:rPr>
                <w:rFonts w:ascii="Courier" w:eastAsia="Times New Roman" w:hAnsi="Courier" w:cs="Times New Roman"/>
                <w:sz w:val="24"/>
                <w:szCs w:val="24"/>
              </w:rPr>
            </w:pPr>
            <w:r w:rsidRPr="00447551">
              <w:rPr>
                <w:rFonts w:ascii="Times New Roman" w:eastAsia="Times New Roman" w:hAnsi="Times New Roman" w:cs="Times New Roman"/>
              </w:rPr>
              <w:lastRenderedPageBreak/>
              <w:t>10</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Screen candidates and recommend the most highly qualified candidate to serve as treasurer for the client.</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Indeterminate</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Whether criteria for evaluation of candidates are client approved; one might also wish to provide a list of qualified candidates rather than only one top candidate, although this is not required.</w:t>
            </w:r>
          </w:p>
        </w:tc>
      </w:tr>
      <w:tr w:rsidR="00447551" w:rsidRPr="00447551" w:rsidTr="00447551">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jc w:val="center"/>
              <w:rPr>
                <w:rFonts w:ascii="Courier" w:eastAsia="Times New Roman" w:hAnsi="Courier" w:cs="Times New Roman"/>
                <w:sz w:val="24"/>
                <w:szCs w:val="24"/>
              </w:rPr>
            </w:pPr>
            <w:r w:rsidRPr="00447551">
              <w:rPr>
                <w:rFonts w:ascii="Times New Roman" w:eastAsia="Times New Roman" w:hAnsi="Times New Roman" w:cs="Times New Roman"/>
              </w:rPr>
              <w:t>11</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Supervise client personnel in the daily operation of the payroll system.</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Yes</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 </w:t>
            </w:r>
          </w:p>
        </w:tc>
      </w:tr>
      <w:tr w:rsidR="00447551" w:rsidRPr="00447551" w:rsidTr="00447551">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jc w:val="center"/>
              <w:rPr>
                <w:rFonts w:ascii="Courier" w:eastAsia="Times New Roman" w:hAnsi="Courier" w:cs="Times New Roman"/>
                <w:sz w:val="24"/>
                <w:szCs w:val="24"/>
              </w:rPr>
            </w:pPr>
            <w:r w:rsidRPr="00447551">
              <w:rPr>
                <w:rFonts w:ascii="Times New Roman" w:eastAsia="Times New Roman" w:hAnsi="Times New Roman" w:cs="Times New Roman"/>
              </w:rPr>
              <w:t>12</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Present payroll business risk considerations to the board of directors on behalf of management.</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Yes</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rsidR="00447551" w:rsidRPr="00447551" w:rsidRDefault="00447551" w:rsidP="00447551">
            <w:pPr>
              <w:spacing w:after="0" w:line="240" w:lineRule="auto"/>
              <w:rPr>
                <w:rFonts w:ascii="Courier" w:eastAsia="Times New Roman" w:hAnsi="Courier" w:cs="Times New Roman"/>
                <w:sz w:val="24"/>
                <w:szCs w:val="24"/>
              </w:rPr>
            </w:pPr>
            <w:r w:rsidRPr="00447551">
              <w:rPr>
                <w:rFonts w:ascii="Times New Roman" w:eastAsia="Times New Roman" w:hAnsi="Times New Roman" w:cs="Times New Roman"/>
              </w:rPr>
              <w:t> </w:t>
            </w:r>
          </w:p>
        </w:tc>
      </w:tr>
    </w:tbl>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b.</w:t>
      </w:r>
      <w:r w:rsidRPr="00447551">
        <w:rPr>
          <w:rFonts w:ascii="Times New Roman" w:eastAsia="Times New Roman" w:hAnsi="Times New Roman" w:cs="Times New Roman"/>
          <w:color w:val="000000"/>
        </w:rPr>
        <w:t>         If the client is not an attest client, any of the services may be performed.</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keepNext/>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b/>
          <w:bCs/>
          <w:color w:val="000000"/>
        </w:rPr>
        <w:t>Problems</w:t>
      </w:r>
    </w:p>
    <w:p w:rsidR="00447551" w:rsidRPr="00447551" w:rsidRDefault="00447551" w:rsidP="00447551">
      <w:pPr>
        <w:keepNext/>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keepNext/>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3–41     SOLUTION: Gary Watson (Estimated time: 15 minutes)</w:t>
      </w:r>
    </w:p>
    <w:p w:rsidR="00447551" w:rsidRPr="00447551" w:rsidRDefault="00447551" w:rsidP="00447551">
      <w:pPr>
        <w:keepNext/>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keepNext/>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a.</w:t>
      </w:r>
      <w:r w:rsidRPr="00447551">
        <w:rPr>
          <w:rFonts w:ascii="Times New Roman" w:eastAsia="Times New Roman" w:hAnsi="Times New Roman" w:cs="Times New Roman"/>
          <w:color w:val="000000"/>
        </w:rPr>
        <w:t>         The parties directly affected by Gary’s decision are the two employers in that they will either split the expenses or each will pay for them in total.</w:t>
      </w:r>
    </w:p>
    <w:p w:rsidR="00447551" w:rsidRPr="00447551" w:rsidRDefault="00447551" w:rsidP="00447551">
      <w:pPr>
        <w:keepNext/>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keepNext/>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b.</w:t>
      </w:r>
      <w:r w:rsidRPr="00447551">
        <w:rPr>
          <w:rFonts w:ascii="Times New Roman" w:eastAsia="Times New Roman" w:hAnsi="Times New Roman" w:cs="Times New Roman"/>
          <w:color w:val="000000"/>
        </w:rPr>
        <w:t>         Yes.  If the employers discover that Gary has requested reimbursement from both of them, it may provide them the impression that students at the college lack ethical values.</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c.</w:t>
      </w:r>
      <w:r w:rsidRPr="00447551">
        <w:rPr>
          <w:rFonts w:ascii="Times New Roman" w:eastAsia="Times New Roman" w:hAnsi="Times New Roman" w:cs="Times New Roman"/>
          <w:color w:val="000000"/>
        </w:rPr>
        <w:t>          Yes.  If the employers discover that Gary has requested reimbursement from both of them, it may provide them with the impression that the professors at the college are not instilling proper ethical values.</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d</w:t>
      </w:r>
      <w:r w:rsidRPr="00447551">
        <w:rPr>
          <w:rFonts w:ascii="Times New Roman" w:eastAsia="Times New Roman" w:hAnsi="Times New Roman" w:cs="Times New Roman"/>
          <w:color w:val="000000"/>
        </w:rPr>
        <w:t>.         Obviously, the ethical course of action is to split the expenses between the two firms.  If either employer found that Gary requested total reimbursement from both of them, it is highly unlikely that he would receive an offer of employment.</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r w:rsidRPr="00447551">
        <w:rPr>
          <w:rFonts w:ascii="Times New Roman" w:eastAsia="Times New Roman" w:hAnsi="Times New Roman" w:cs="Times New Roman"/>
          <w:i/>
          <w:iCs/>
          <w:color w:val="000000"/>
        </w:rPr>
        <w:t>e.</w:t>
      </w:r>
      <w:r w:rsidRPr="00447551">
        <w:rPr>
          <w:rFonts w:ascii="Times New Roman" w:eastAsia="Times New Roman" w:hAnsi="Times New Roman" w:cs="Times New Roman"/>
          <w:color w:val="000000"/>
        </w:rPr>
        <w:t>          Again, the ethical course would be to inform the firms and obtain the proper reimbursement.</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720"/>
        <w:rPr>
          <w:rFonts w:ascii="Times New Roman" w:eastAsia="Times New Roman" w:hAnsi="Times New Roman" w:cs="Times New Roman"/>
          <w:color w:val="000000"/>
        </w:rPr>
      </w:pPr>
      <w:r w:rsidRPr="00447551">
        <w:rPr>
          <w:rFonts w:ascii="Times New Roman" w:eastAsia="Times New Roman" w:hAnsi="Times New Roman" w:cs="Times New Roman"/>
          <w:color w:val="000000"/>
        </w:rPr>
        <w:t>Note to instructor:  This problem is loosely based on a real situation that one of the co-authors of this text became aware of when he was an undergraduate student.  Another undergraduate student traveled to New York and visited with five of the international public accounting firms.  He received offers from each of the firms and proceeded to bill all five for his expenses, which greatly exceeded the amounts involved in this problem.  An informal discussion among two of the recruiters resulted in discovery of his scheme.  Those recruiters notified the other public accounting firms and this led to the revocation of all five of his offers.</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keepNext/>
        <w:spacing w:after="0" w:line="240" w:lineRule="auto"/>
        <w:ind w:left="72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br w:type="page"/>
      </w:r>
      <w:r w:rsidRPr="00447551">
        <w:rPr>
          <w:rFonts w:ascii="Times New Roman" w:eastAsia="Times New Roman" w:hAnsi="Times New Roman" w:cs="Times New Roman"/>
          <w:color w:val="000000"/>
        </w:rPr>
        <w:lastRenderedPageBreak/>
        <w:t>3</w:t>
      </w:r>
      <w:r w:rsidRPr="00447551">
        <w:rPr>
          <w:rFonts w:ascii="Times New Roman" w:eastAsia="Times New Roman" w:hAnsi="Times New Roman" w:cs="Times New Roman"/>
          <w:color w:val="000000"/>
        </w:rPr>
        <w:softHyphen/>
        <w:t>–42     SOLUTION:  Roland Company (Estimated time:  25 minutes)</w:t>
      </w:r>
    </w:p>
    <w:p w:rsidR="00447551" w:rsidRPr="00447551" w:rsidRDefault="00447551" w:rsidP="00447551">
      <w:pPr>
        <w:keepNext/>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a.</w:t>
      </w:r>
      <w:r w:rsidRPr="00447551">
        <w:rPr>
          <w:rFonts w:ascii="Times New Roman" w:eastAsia="Times New Roman" w:hAnsi="Times New Roman" w:cs="Times New Roman"/>
          <w:color w:val="000000"/>
        </w:rPr>
        <w:t>         The auditor should inform the management of Roland Company of the underpayment for store fixtures and existing liability of $54,000.  An adjusting entry should be proposed to increase the cost of the store fixtures and to increase accounts payable to the correct amount.</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b.</w:t>
      </w:r>
      <w:r w:rsidRPr="00447551">
        <w:rPr>
          <w:rFonts w:ascii="Times New Roman" w:eastAsia="Times New Roman" w:hAnsi="Times New Roman" w:cs="Times New Roman"/>
          <w:color w:val="000000"/>
        </w:rPr>
        <w:t>         The unpaid portion of the liability amounting to $54,000 is definitely a liability and the auditor has a responsibility to see that all known liabilities are included in the balance sheet.  Failure to do so would render the financial statements misleading, and would constitute dishonesty and willful misrepresentation on the part of the auditor.  A belief by management that it may be able, through trickery, to avoid paying its debts is no justification for omitting such debts from the balance sheet.  However, it is not the responsibility of the auditor to try to force management to pay the liability.  The company may include the $54,000 amount as part of the total of accounts payable on the balance sheet without identifying the creditor or taking any steps toward paying the debt.  Such action would meet the requirement of adequate disclosure in the financial statements and would permit the auditor to issue a report indicating that the statements present fairly the financial position, operating results, and cash flows.</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i/>
          <w:iCs/>
          <w:color w:val="000000"/>
        </w:rPr>
        <w:t>c</w:t>
      </w:r>
      <w:r w:rsidRPr="00447551">
        <w:rPr>
          <w:rFonts w:ascii="Times New Roman" w:eastAsia="Times New Roman" w:hAnsi="Times New Roman" w:cs="Times New Roman"/>
          <w:color w:val="000000"/>
        </w:rPr>
        <w:t>.          Whether the auditor would be justified in using the information gained in the audit of Roland Company to reopen an account receivable on the accounting records of Western Showcase, Inc. constitutes a puzzling question in professional ethics.  To do so might be considered a violation of the professional and confidential relationship between the auditor and the client, Roland Company.  Failure to take action, on the other hand, might be regarded as a breach of faith with the second client.  It could be argued that the auditor has a duty to speak so that an obvious injustice may be corrected.</w:t>
      </w:r>
    </w:p>
    <w:p w:rsidR="00447551" w:rsidRPr="00447551" w:rsidRDefault="00447551" w:rsidP="00447551">
      <w:pPr>
        <w:spacing w:after="0" w:line="240" w:lineRule="auto"/>
        <w:ind w:left="1440" w:firstLine="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If the auditor had not been retained by Western Showcase, Inc., he would not have been justified in going to that concern on his own initiative and disclosing the existence of the uncollected account.  However, since he has been retained to make an audit of Western Showcase, Inc.'s financial statements, he should, in the opinion of the authors, utilize all information at his command to develop an accurate determination of the company's financial position.  Professional conduct would seem to call for him to review accounts receivable of Western Showcase, Inc. very carefully.  In the course of doing so, he will "discover" the underbilling of Roland Company, and propose an adjustment to reinstate this receivable.  Also, during this investigation of receivables, the auditor may find accounts from other customers incorrectly handled; the fact that the error in the receivable from Roland Company went undetected suggests that internal control over receivables may be weak in the Western Showcase, Inc. system.  Note that this is the opinion of the authors and that the </w:t>
      </w:r>
      <w:r w:rsidRPr="00447551">
        <w:rPr>
          <w:rFonts w:ascii="Times New Roman" w:eastAsia="Times New Roman" w:hAnsi="Times New Roman" w:cs="Times New Roman"/>
          <w:i/>
          <w:iCs/>
          <w:color w:val="000000"/>
        </w:rPr>
        <w:t>Code of Professional Conduct</w:t>
      </w:r>
      <w:r w:rsidRPr="00447551">
        <w:rPr>
          <w:rFonts w:ascii="Times New Roman" w:eastAsia="Times New Roman" w:hAnsi="Times New Roman" w:cs="Times New Roman"/>
          <w:color w:val="000000"/>
        </w:rPr>
        <w:t> does not directly address the issue.</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keepNext/>
        <w:spacing w:after="0" w:line="240" w:lineRule="auto"/>
        <w:ind w:left="1440" w:hanging="144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3–43     SOLUTION:  Financial Services, Inc.  (Estimated time:  25 minutes)</w:t>
      </w:r>
    </w:p>
    <w:p w:rsidR="00447551" w:rsidRPr="00447551" w:rsidRDefault="00447551" w:rsidP="00447551">
      <w:pPr>
        <w:keepNext/>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keepNext/>
        <w:spacing w:after="0" w:line="240" w:lineRule="auto"/>
        <w:ind w:left="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Acts by Gilbert that were in violation of the AICPA </w:t>
      </w:r>
      <w:r w:rsidRPr="00447551">
        <w:rPr>
          <w:rFonts w:ascii="Times New Roman" w:eastAsia="Times New Roman" w:hAnsi="Times New Roman" w:cs="Times New Roman"/>
          <w:i/>
          <w:iCs/>
          <w:color w:val="000000"/>
        </w:rPr>
        <w:t>Code of Professional Conduct</w:t>
      </w:r>
      <w:r w:rsidRPr="00447551">
        <w:rPr>
          <w:rFonts w:ascii="Times New Roman" w:eastAsia="Times New Roman" w:hAnsi="Times New Roman" w:cs="Times New Roman"/>
          <w:color w:val="000000"/>
        </w:rPr>
        <w:t>, and their ethical implications are as follows (only four required):</w:t>
      </w:r>
    </w:p>
    <w:p w:rsidR="00447551" w:rsidRPr="00447551" w:rsidRDefault="00447551" w:rsidP="00447551">
      <w:pPr>
        <w:keepNext/>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xml:space="preserve"> (1)       Gilbert may be in violation of Rule 102 that requires that a member be free of conflicts of interest in rendering professional services.  The insurance aspects of the business might be considered incompatible if Gilbert was making recommendations concerning </w:t>
      </w:r>
      <w:r w:rsidRPr="00447551">
        <w:rPr>
          <w:rFonts w:ascii="Times New Roman" w:eastAsia="Times New Roman" w:hAnsi="Times New Roman" w:cs="Times New Roman"/>
          <w:color w:val="000000"/>
        </w:rPr>
        <w:lastRenderedPageBreak/>
        <w:t>insurance coverage and selling insurance to the same firms.  Also, the firm may be in violation of Rule 503 regarding commissions.</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(2)        Gilbert's expression of an unqualified opinion on Grandtime's financial statements that did not disclose a material lien on the building asset is a violation of both Rule 202 (Compliance with Standards) and Rule 203 (Accounting Principles).</w:t>
      </w:r>
    </w:p>
    <w:p w:rsidR="00447551" w:rsidRPr="00447551" w:rsidRDefault="00447551" w:rsidP="00447551">
      <w:pPr>
        <w:spacing w:after="0" w:line="240" w:lineRule="auto"/>
        <w:ind w:left="1440" w:firstLine="576"/>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Rule 202 provides that a member shall comply with appropriate standards when performing professional services.  The third standard of reporting for audits states that "informative disclosures are to be regarded as reasonably adequate unless otherwise stated in the report." Since there was no disclosure of the business lien in the financial statements, Gilbert should have qualified his opinion.</w:t>
      </w:r>
    </w:p>
    <w:p w:rsidR="00447551" w:rsidRPr="00447551" w:rsidRDefault="00447551" w:rsidP="00447551">
      <w:pPr>
        <w:spacing w:after="0" w:line="240" w:lineRule="auto"/>
        <w:ind w:left="1440" w:firstLine="576"/>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Rule 203 requires that a member shall not express an opinion that financial statements are presented in conformity with generally accepted accounting principles if such statements contain any departure from an accounting principle promulgated by a body designed by Council to establish such principles.  </w:t>
      </w:r>
      <w:r w:rsidRPr="00447551">
        <w:rPr>
          <w:rFonts w:ascii="Times New Roman" w:eastAsia="Times New Roman" w:hAnsi="Times New Roman" w:cs="Times New Roman"/>
          <w:i/>
          <w:iCs/>
          <w:color w:val="000000"/>
        </w:rPr>
        <w:t>Statement of Financial Accounting Standards No. 5</w:t>
      </w:r>
      <w:r w:rsidRPr="00447551">
        <w:rPr>
          <w:rFonts w:ascii="Times New Roman" w:eastAsia="Times New Roman" w:hAnsi="Times New Roman" w:cs="Times New Roman"/>
          <w:color w:val="000000"/>
        </w:rPr>
        <w:t>, which was published by a body designated by Council, requires disclosure of assets pledged as collateral for loans.</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(3)        Having Bradley inform the insurance company of the prior lien on Grandtime's building is a violation by Gilbert of Rule 301 of the </w:t>
      </w:r>
      <w:r w:rsidRPr="00447551">
        <w:rPr>
          <w:rFonts w:ascii="Times New Roman" w:eastAsia="Times New Roman" w:hAnsi="Times New Roman" w:cs="Times New Roman"/>
          <w:i/>
          <w:iCs/>
          <w:color w:val="000000"/>
        </w:rPr>
        <w:t>Code</w:t>
      </w:r>
      <w:r w:rsidRPr="00447551">
        <w:rPr>
          <w:rFonts w:ascii="Times New Roman" w:eastAsia="Times New Roman" w:hAnsi="Times New Roman" w:cs="Times New Roman"/>
          <w:color w:val="000000"/>
        </w:rPr>
        <w:t>, which enjoins a member from violating the confidential relationship between himself and his client without consent of the client.  The lien should have been disclosed in Gilbert's report on Grandtime's statements, but he may not disclose it independently to a third party unless the client agrees to such disclosure.  However, Rule 301 should not be interpreted to preclude a CPA from correcting a previous error—in this case expressing an opinion that the financial statements were prepared in accordance with generally accepted accounting principles when, in fact, they were not.  Gilbert should have first exhausted all means to persuade Grandtime to correct the error by recalling the original financial statements and reissuing them in corrected form with a new auditor's report.</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447551" w:rsidRPr="00447551" w:rsidRDefault="00447551" w:rsidP="00447551">
      <w:pPr>
        <w:spacing w:after="0" w:line="240" w:lineRule="auto"/>
        <w:ind w:left="1440" w:hanging="720"/>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(4)        Another point, not directly addressed by the text, and related to the first point above, concerns a CPA having a financial interest in a commercial corporation that performs such insurance services.  Under certain circumstances this is allowed, provided such interest is not material to the corporation's stockholders' equity, and the member's interest in and relation to the corporation is solely that of an investor.  Certainly Gilbert's 50-percent interest is material to Financial Services, Inc., and Gilbert's status is not that of an investor.  In this respect Gilbert is in violation of Rule 505. </w:t>
      </w:r>
    </w:p>
    <w:p w:rsidR="00447551" w:rsidRPr="00447551" w:rsidRDefault="00447551" w:rsidP="00447551">
      <w:pPr>
        <w:spacing w:after="0" w:line="240" w:lineRule="auto"/>
        <w:rPr>
          <w:rFonts w:ascii="Courier" w:eastAsia="Times New Roman" w:hAnsi="Courier" w:cs="Times New Roman"/>
          <w:color w:val="000000"/>
          <w:sz w:val="27"/>
          <w:szCs w:val="27"/>
        </w:rPr>
      </w:pPr>
      <w:r w:rsidRPr="00447551">
        <w:rPr>
          <w:rFonts w:ascii="Times New Roman" w:eastAsia="Times New Roman" w:hAnsi="Times New Roman" w:cs="Times New Roman"/>
          <w:color w:val="000000"/>
        </w:rPr>
        <w:t> </w:t>
      </w:r>
    </w:p>
    <w:p w:rsidR="003370BF" w:rsidRDefault="003370BF"/>
    <w:sectPr w:rsidR="003370BF" w:rsidSect="003370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447551"/>
    <w:rsid w:val="003370BF"/>
    <w:rsid w:val="00447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0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47551"/>
  </w:style>
  <w:style w:type="paragraph" w:styleId="BodyTextIndent">
    <w:name w:val="Body Text Indent"/>
    <w:basedOn w:val="Normal"/>
    <w:link w:val="BodyTextIndentChar"/>
    <w:uiPriority w:val="99"/>
    <w:semiHidden/>
    <w:unhideWhenUsed/>
    <w:rsid w:val="004475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447551"/>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rsid w:val="004475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semiHidden/>
    <w:rsid w:val="00447551"/>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4475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uiPriority w:val="99"/>
    <w:semiHidden/>
    <w:rsid w:val="00447551"/>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7034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5647</Words>
  <Characters>32194</Characters>
  <Application>Microsoft Office Word</Application>
  <DocSecurity>0</DocSecurity>
  <Lines>268</Lines>
  <Paragraphs>75</Paragraphs>
  <ScaleCrop>false</ScaleCrop>
  <Company/>
  <LinksUpToDate>false</LinksUpToDate>
  <CharactersWithSpaces>37766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Michelle</cp:lastModifiedBy>
  <cp:revision>1</cp:revision>
  <dcterms:created xsi:type="dcterms:W3CDTF">2013-09-21T06:00:00Z</dcterms:created>
  <dcterms:modified xsi:type="dcterms:W3CDTF">2013-09-21T06:00:00Z</dcterms:modified>
</cp:coreProperties>
</file>