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18"/>
        <w:ind w:left="0" w:right="0"/>
      </w:pPr>
      <w:r/>
    </w:p>
    <w:p>
      <w:pPr>
        <w:autoSpaceDN w:val="0"/>
        <w:tabs>
          <w:tab w:pos="1982" w:val="left"/>
        </w:tabs>
        <w:autoSpaceDE w:val="0"/>
        <w:widowControl/>
        <w:spacing w:line="384" w:lineRule="exact" w:before="0" w:after="0"/>
        <w:ind w:left="360" w:right="288" w:firstLine="0"/>
        <w:jc w:val="left"/>
      </w:pPr>
      <w:r>
        <w:t xml:space="preserve">证券代码：600084        证券简称：中葡股份     公告编号：临 2018-068 中信国安葡萄酒业股份有限公司 </w:t>
      </w:r>
    </w:p>
    <w:p>
      <w:pPr>
        <w:autoSpaceDN w:val="0"/>
        <w:autoSpaceDE w:val="0"/>
        <w:widowControl/>
        <w:spacing w:line="360" w:lineRule="exact" w:before="264" w:after="756"/>
        <w:ind w:left="1574" w:right="0" w:firstLine="0"/>
        <w:jc w:val="left"/>
      </w:pPr>
      <w:r>
        <w:t xml:space="preserve">2018 年第二次临时股东大会决议公告 </w:t>
      </w:r>
    </w:p>
    <w:tbl>
      <w:tblPr>
        <w:tblW w:type="auto" w:w="0"/>
        <w:tblLayout w:type="fixed"/>
        <w:tblLook w:firstColumn="1" w:firstRow="1" w:lastColumn="0" w:lastRow="0" w:noHBand="0" w:noVBand="1" w:val="04A0"/>
        <w:tblInd w:w="254.00000000000006" w:type="dxa"/>
      </w:tblPr>
      <w:tblGrid>
        <w:gridCol w:w="9026"/>
      </w:tblGrid>
      <w:tr>
        <w:trPr>
          <w:trHeight w:hRule="exact" w:val="946"/>
        </w:trPr>
        <w:tc>
          <w:tcPr>
            <w:tcW w:type="dxa" w:w="8524"/>
            <w:tcBorders>
              <w:start w:sz="4.0" w:val="single" w:color="#000000"/>
              <w:top w:sz="4.0" w:val="single" w:color="#000000"/>
              <w:end w:sz="4.0" w:val="single" w:color="#000000"/>
              <w:bottom w:sz="4.0" w:val="single" w:color="#000000"/>
            </w:tcBorders>
            <w:tcMar>
              <w:start w:w="0" w:type="dxa"/>
              <w:end w:w="0" w:type="dxa"/>
            </w:tcMar>
          </w:tcPr>
          <w:p>
            <w:pPr>
              <w:autoSpaceDN w:val="0"/>
              <w:tabs>
                <w:tab w:pos="580" w:val="left"/>
              </w:tabs>
              <w:autoSpaceDE w:val="0"/>
              <w:widowControl/>
              <w:spacing w:line="372" w:lineRule="exact" w:before="0" w:after="0"/>
              <w:ind w:left="100" w:right="0" w:firstLine="0"/>
              <w:jc w:val="left"/>
            </w:pPr>
            <w:r>
              <w:tab/>
            </w:r>
            <w:r>
              <w:rPr>
                <w:rFonts w:ascii="·ÂËÎ_GB2312" w:hAnsi="·ÂËÎ_GB2312" w:eastAsia="·ÂËÎ_GB2312"/>
                <w:b w:val="0"/>
                <w:i w:val="0"/>
                <w:color w:val="000000"/>
                <w:sz w:val="24"/>
              </w:rPr>
              <w:t xml:space="preserve">本公司董事会及全体董事保证本公告内容不存在任何虚假记载、误导性陈述 </w:t>
            </w:r>
            <w:r>
              <w:rPr>
                <w:rFonts w:ascii="·ÂËÎ_GB2312" w:hAnsi="·ÂËÎ_GB2312" w:eastAsia="·ÂËÎ_GB2312"/>
                <w:b w:val="0"/>
                <w:i w:val="0"/>
                <w:color w:val="000000"/>
                <w:sz w:val="24"/>
              </w:rPr>
              <w:t xml:space="preserve">或者重大遗漏，并对其内容的真实性、准确性和完整性承担个别及连带责任。 </w:t>
            </w:r>
          </w:p>
        </w:tc>
      </w:tr>
    </w:tbl>
    <w:p>
      <w:pPr>
        <w:autoSpaceDN w:val="0"/>
        <w:autoSpaceDE w:val="0"/>
        <w:widowControl/>
        <w:spacing w:line="240" w:lineRule="exact" w:before="596" w:after="0"/>
        <w:ind w:left="360" w:right="0" w:firstLine="0"/>
        <w:jc w:val="left"/>
      </w:pPr>
      <w:r>
        <w:t>重要内容提示：</w:t>
      </w:r>
    </w:p>
    <w:p>
      <w:pPr>
        <w:autoSpaceDN w:val="0"/>
        <w:autoSpaceDE w:val="0"/>
        <w:widowControl/>
        <w:spacing w:line="266" w:lineRule="exact" w:before="612" w:after="556"/>
        <w:ind w:left="360" w:right="0" w:firstLine="0"/>
        <w:jc w:val="left"/>
      </w:pPr>
      <w:r>
        <w:t>本次会议是否有否决议案：无</w:t>
      </w:r>
    </w:p>
    <w:tbl>
      <w:tblPr>
        <w:tblW w:type="auto" w:w="0"/>
        <w:tblLayout w:type="fixed"/>
        <w:tblLook w:firstColumn="1" w:firstRow="1" w:lastColumn="0" w:lastRow="0" w:noHBand="0" w:noVBand="1" w:val="04A0"/>
        <w:tblInd w:w="180.0" w:type="dxa"/>
      </w:tblPr>
      <w:tblGrid>
        <w:gridCol w:w="4513"/>
        <w:gridCol w:w="4513"/>
      </w:tblGrid>
      <w:tr>
        <w:trPr>
          <w:trHeight w:hRule="exact" w:val="2956"/>
        </w:trPr>
        <w:tc>
          <w:tcPr>
            <w:tcW w:type="dxa" w:w="840"/>
            <w:tcBorders/>
            <w:tcMar>
              <w:start w:w="0" w:type="dxa"/>
              <w:end w:w="0" w:type="dxa"/>
            </w:tcMar>
          </w:tcPr>
          <w:p>
            <w:pPr>
              <w:autoSpaceDN w:val="0"/>
              <w:autoSpaceDE w:val="0"/>
              <w:widowControl/>
              <w:spacing w:line="240" w:lineRule="exact" w:before="60" w:after="0"/>
              <w:ind w:left="0" w:right="0" w:firstLine="0"/>
              <w:jc w:val="center"/>
            </w:pPr>
            <w:r>
              <w:rPr>
                <w:rFonts w:ascii="ËÎÌå" w:hAnsi="ËÎÌå" w:eastAsia="ËÎÌå"/>
                <w:b w:val="0"/>
                <w:i w:val="0"/>
                <w:color w:val="000000"/>
                <w:sz w:val="24"/>
              </w:rPr>
              <w:t>一、</w:t>
            </w:r>
          </w:p>
          <w:p>
            <w:pPr>
              <w:autoSpaceDN w:val="0"/>
              <w:autoSpaceDE w:val="0"/>
              <w:widowControl/>
              <w:spacing w:line="280" w:lineRule="exact" w:before="716"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一</w:t>
            </w:r>
            <w:r>
              <w:rPr>
                <w:rFonts w:ascii="Cambria" w:hAnsi="Cambria" w:eastAsia="Cambria"/>
                <w:b w:val="0"/>
                <w:i w:val="0"/>
                <w:color w:val="000000"/>
                <w:sz w:val="24"/>
              </w:rPr>
              <w:t>)</w:t>
            </w:r>
          </w:p>
          <w:p>
            <w:pPr>
              <w:autoSpaceDN w:val="0"/>
              <w:autoSpaceDE w:val="0"/>
              <w:widowControl/>
              <w:spacing w:line="282" w:lineRule="exact" w:before="518"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二</w:t>
            </w:r>
            <w:r>
              <w:rPr>
                <w:rFonts w:ascii="Cambria" w:hAnsi="Cambria" w:eastAsia="Cambria"/>
                <w:b w:val="0"/>
                <w:i w:val="0"/>
                <w:color w:val="000000"/>
                <w:sz w:val="24"/>
              </w:rPr>
              <w:t>)</w:t>
            </w:r>
          </w:p>
          <w:p>
            <w:pPr>
              <w:autoSpaceDN w:val="0"/>
              <w:autoSpaceDE w:val="0"/>
              <w:widowControl/>
              <w:spacing w:line="282" w:lineRule="exact" w:before="518"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三</w:t>
            </w:r>
            <w:r>
              <w:rPr>
                <w:rFonts w:ascii="Cambria" w:hAnsi="Cambria" w:eastAsia="Cambria"/>
                <w:b w:val="0"/>
                <w:i w:val="0"/>
                <w:color w:val="000000"/>
                <w:sz w:val="24"/>
              </w:rPr>
              <w:t>)</w:t>
            </w:r>
          </w:p>
        </w:tc>
        <w:tc>
          <w:tcPr>
            <w:tcW w:type="dxa" w:w="7800"/>
            <w:tcBorders/>
            <w:tcMar>
              <w:start w:w="0" w:type="dxa"/>
              <w:end w:w="0" w:type="dxa"/>
            </w:tcMar>
          </w:tcPr>
          <w:p>
            <w:pPr>
              <w:autoSpaceDN w:val="0"/>
              <w:autoSpaceDE w:val="0"/>
              <w:widowControl/>
              <w:spacing w:line="240" w:lineRule="exact" w:before="60" w:after="0"/>
              <w:ind w:left="180" w:right="0" w:firstLine="0"/>
              <w:jc w:val="left"/>
            </w:pPr>
            <w:r>
              <w:rPr>
                <w:rFonts w:ascii="ËÎÌå" w:hAnsi="ËÎÌå" w:eastAsia="ËÎÌå"/>
                <w:b w:val="0"/>
                <w:i w:val="0"/>
                <w:color w:val="000000"/>
                <w:sz w:val="24"/>
              </w:rPr>
              <w:t>会议召开和出席情况</w:t>
            </w:r>
          </w:p>
          <w:p>
            <w:pPr>
              <w:autoSpaceDN w:val="0"/>
              <w:autoSpaceDE w:val="0"/>
              <w:widowControl/>
              <w:spacing w:line="240" w:lineRule="exact" w:before="738" w:after="0"/>
              <w:ind w:left="180" w:right="0" w:firstLine="0"/>
              <w:jc w:val="left"/>
            </w:pPr>
            <w:r>
              <w:rPr>
                <w:rFonts w:ascii="ËÎÌå" w:hAnsi="ËÎÌå" w:eastAsia="ËÎÌå"/>
                <w:b w:val="0"/>
                <w:i w:val="0"/>
                <w:color w:val="000000"/>
                <w:sz w:val="24"/>
              </w:rPr>
              <w:t>股东大会召开的时间：2018 年 11 月 30 日</w:t>
            </w:r>
          </w:p>
          <w:p>
            <w:pPr>
              <w:autoSpaceDN w:val="0"/>
              <w:autoSpaceDE w:val="0"/>
              <w:widowControl/>
              <w:spacing w:line="240" w:lineRule="exact" w:before="558" w:after="0"/>
              <w:ind w:left="180" w:right="0" w:firstLine="0"/>
              <w:jc w:val="left"/>
            </w:pPr>
            <w:r>
              <w:rPr>
                <w:rFonts w:ascii="ËÎÌå" w:hAnsi="ËÎÌå" w:eastAsia="ËÎÌå"/>
                <w:b w:val="0"/>
                <w:i w:val="0"/>
                <w:color w:val="000000"/>
                <w:sz w:val="24"/>
              </w:rPr>
              <w:t>股东大会召开的地点：新疆乌鲁木齐市红山路 39 号公司四楼会议室</w:t>
            </w:r>
          </w:p>
          <w:p>
            <w:pPr>
              <w:autoSpaceDN w:val="0"/>
              <w:autoSpaceDE w:val="0"/>
              <w:widowControl/>
              <w:spacing w:line="240" w:lineRule="exact" w:before="560" w:after="0"/>
              <w:ind w:left="0" w:right="0" w:firstLine="0"/>
              <w:jc w:val="center"/>
            </w:pPr>
            <w:r>
              <w:rPr>
                <w:rFonts w:ascii="ËÎÌå" w:hAnsi="ËÎÌå" w:eastAsia="ËÎÌå"/>
                <w:b w:val="0"/>
                <w:i w:val="0"/>
                <w:color w:val="000000"/>
                <w:sz w:val="24"/>
              </w:rPr>
              <w:t>出席会议的普通股股东和恢复表决权的优先股股东及其持有股份情况：</w:t>
            </w:r>
          </w:p>
        </w:tc>
      </w:tr>
    </w:tbl>
    <w:p>
      <w:pPr>
        <w:autoSpaceDN w:val="0"/>
        <w:autoSpaceDE w:val="0"/>
        <w:widowControl/>
        <w:spacing w:line="328" w:lineRule="exact" w:before="0" w:after="0"/>
        <w:ind w:left="0" w:right="0"/>
      </w:pPr>
      <w:r/>
    </w:p>
    <w:tbl>
      <w:tblPr>
        <w:tblW w:type="auto" w:w="0"/>
        <w:tblLayout w:type="fixed"/>
        <w:tblLook w:firstColumn="1" w:firstRow="1" w:lastColumn="0" w:lastRow="0" w:noHBand="0" w:noVBand="1" w:val="04A0"/>
        <w:tblInd w:w="254.00000000000006" w:type="dxa"/>
      </w:tblPr>
      <w:tblGrid>
        <w:gridCol w:w="4513"/>
        <w:gridCol w:w="4513"/>
      </w:tblGrid>
      <w:tr>
        <w:trPr>
          <w:trHeight w:hRule="exact" w:val="608"/>
        </w:trPr>
        <w:tc>
          <w:tcPr>
            <w:tcW w:type="dxa" w:w="634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4" w:after="0"/>
              <w:ind w:left="100" w:right="0" w:firstLine="0"/>
              <w:jc w:val="left"/>
            </w:pPr>
            <w:r>
              <w:rPr>
                <w:rFonts w:ascii="ËÎÌå" w:hAnsi="ËÎÌå" w:eastAsia="ËÎÌå"/>
                <w:b w:val="0"/>
                <w:i w:val="0"/>
                <w:color w:val="000000"/>
                <w:sz w:val="24"/>
              </w:rPr>
              <w:t xml:space="preserve">1、出席会议的股东和代理人人数 </w:t>
            </w:r>
          </w:p>
        </w:tc>
        <w:tc>
          <w:tcPr>
            <w:tcW w:type="dxa" w:w="198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4" w:after="0"/>
              <w:ind w:left="0" w:right="0" w:firstLine="0"/>
              <w:jc w:val="right"/>
            </w:pPr>
            <w:r>
              <w:rPr>
                <w:rFonts w:ascii="ËÎÌå" w:hAnsi="ËÎÌå" w:eastAsia="ËÎÌå"/>
                <w:b w:val="0"/>
                <w:i w:val="0"/>
                <w:color w:val="000000"/>
                <w:sz w:val="24"/>
              </w:rPr>
              <w:t xml:space="preserve">20 </w:t>
            </w:r>
          </w:p>
        </w:tc>
      </w:tr>
      <w:tr>
        <w:trPr>
          <w:trHeight w:hRule="exact" w:val="612"/>
        </w:trPr>
        <w:tc>
          <w:tcPr>
            <w:tcW w:type="dxa" w:w="6344"/>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8" w:after="0"/>
              <w:ind w:left="100" w:right="0" w:firstLine="0"/>
              <w:jc w:val="left"/>
            </w:pPr>
            <w:r>
              <w:rPr>
                <w:rFonts w:ascii="ËÎÌå" w:hAnsi="ËÎÌå" w:eastAsia="ËÎÌå"/>
                <w:b w:val="0"/>
                <w:i w:val="0"/>
                <w:color w:val="000000"/>
                <w:sz w:val="24"/>
              </w:rPr>
              <w:t xml:space="preserve">2、出席会议的股东所持有表决权的股份总数（股） </w:t>
            </w:r>
          </w:p>
        </w:tc>
        <w:tc>
          <w:tcPr>
            <w:tcW w:type="dxa" w:w="198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278" w:after="0"/>
              <w:ind w:left="0" w:right="0" w:firstLine="0"/>
              <w:jc w:val="right"/>
            </w:pPr>
            <w:r>
              <w:rPr>
                <w:rFonts w:ascii="ËÎÌå" w:hAnsi="ËÎÌå" w:eastAsia="ËÎÌå"/>
                <w:b w:val="0"/>
                <w:i w:val="0"/>
                <w:color w:val="000000"/>
                <w:sz w:val="24"/>
              </w:rPr>
              <w:t xml:space="preserve">560,792,889 </w:t>
            </w:r>
          </w:p>
        </w:tc>
      </w:tr>
      <w:tr>
        <w:trPr>
          <w:trHeight w:hRule="exact" w:val="1212"/>
        </w:trPr>
        <w:tc>
          <w:tcPr>
            <w:tcW w:type="dxa" w:w="634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558" w:lineRule="exact" w:before="0" w:after="0"/>
              <w:ind w:left="100" w:right="0" w:firstLine="0"/>
              <w:jc w:val="left"/>
            </w:pPr>
            <w:r>
              <w:rPr>
                <w:rFonts w:ascii="ËÎÌå" w:hAnsi="ËÎÌå" w:eastAsia="ËÎÌå"/>
                <w:b w:val="0"/>
                <w:i w:val="0"/>
                <w:color w:val="000000"/>
                <w:sz w:val="24"/>
              </w:rPr>
              <w:t xml:space="preserve">3、出席会议的股东所持有表决权股份数占公司有表决权股 </w:t>
            </w:r>
            <w:r>
              <w:rPr>
                <w:rFonts w:ascii="ËÎÌå" w:hAnsi="ËÎÌå" w:eastAsia="ËÎÌå"/>
                <w:b w:val="0"/>
                <w:i w:val="0"/>
                <w:color w:val="000000"/>
                <w:sz w:val="24"/>
              </w:rPr>
              <w:t xml:space="preserve">份总数的比例（%） </w:t>
            </w:r>
          </w:p>
        </w:tc>
        <w:tc>
          <w:tcPr>
            <w:tcW w:type="dxa" w:w="19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40" w:lineRule="exact" w:before="876" w:after="0"/>
              <w:ind w:left="0" w:right="0" w:firstLine="0"/>
              <w:jc w:val="right"/>
            </w:pPr>
            <w:r>
              <w:rPr>
                <w:rFonts w:ascii="ËÎÌå" w:hAnsi="ËÎÌå" w:eastAsia="ËÎÌå"/>
                <w:b w:val="0"/>
                <w:i w:val="0"/>
                <w:color w:val="000000"/>
                <w:sz w:val="24"/>
              </w:rPr>
              <w:t xml:space="preserve">49.9047 </w:t>
            </w:r>
          </w:p>
        </w:tc>
      </w:tr>
    </w:tbl>
    <w:p>
      <w:pPr>
        <w:autoSpaceDN w:val="0"/>
        <w:autoSpaceDE w:val="0"/>
        <w:widowControl/>
        <w:spacing w:line="638" w:lineRule="exact" w:before="0" w:after="0"/>
        <w:ind w:left="0" w:right="0"/>
      </w:pPr>
      <w:r/>
    </w:p>
    <w:tbl>
      <w:tblPr>
        <w:tblW w:type="auto" w:w="0"/>
        <w:tblLayout w:type="fixed"/>
        <w:tblLook w:firstColumn="1" w:firstRow="1" w:lastColumn="0" w:lastRow="0" w:noHBand="0" w:noVBand="1" w:val="04A0"/>
        <w:tblInd w:w="180.0" w:type="dxa"/>
      </w:tblPr>
      <w:tblGrid>
        <w:gridCol w:w="4513"/>
        <w:gridCol w:w="4513"/>
      </w:tblGrid>
      <w:tr>
        <w:trPr>
          <w:trHeight w:hRule="exact" w:val="402"/>
        </w:trPr>
        <w:tc>
          <w:tcPr>
            <w:tcW w:type="dxa" w:w="800"/>
            <w:tcBorders/>
            <w:tcMar>
              <w:start w:w="0" w:type="dxa"/>
              <w:end w:w="0" w:type="dxa"/>
            </w:tcMar>
          </w:tcPr>
          <w:p>
            <w:pPr>
              <w:autoSpaceDN w:val="0"/>
              <w:autoSpaceDE w:val="0"/>
              <w:widowControl/>
              <w:spacing w:line="282" w:lineRule="exact" w:before="60"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四</w:t>
            </w:r>
            <w:r>
              <w:rPr>
                <w:rFonts w:ascii="Cambria" w:hAnsi="Cambria" w:eastAsia="Cambria"/>
                <w:b w:val="0"/>
                <w:i w:val="0"/>
                <w:color w:val="000000"/>
                <w:sz w:val="24"/>
              </w:rPr>
              <w:t>)</w:t>
            </w:r>
          </w:p>
        </w:tc>
        <w:tc>
          <w:tcPr>
            <w:tcW w:type="dxa" w:w="7860"/>
            <w:tcBorders/>
            <w:tcMar>
              <w:start w:w="0" w:type="dxa"/>
              <w:end w:w="0" w:type="dxa"/>
            </w:tcMar>
          </w:tcPr>
          <w:p>
            <w:pPr>
              <w:autoSpaceDN w:val="0"/>
              <w:autoSpaceDE w:val="0"/>
              <w:widowControl/>
              <w:spacing w:line="240" w:lineRule="exact" w:before="82" w:after="0"/>
              <w:ind w:left="0" w:right="0" w:firstLine="0"/>
              <w:jc w:val="center"/>
            </w:pPr>
            <w:r>
              <w:rPr>
                <w:rFonts w:ascii="ËÎÌå" w:hAnsi="ËÎÌå" w:eastAsia="ËÎÌå"/>
                <w:b w:val="0"/>
                <w:i w:val="0"/>
                <w:color w:val="000000"/>
                <w:sz w:val="24"/>
              </w:rPr>
              <w:t>表决方式是否符合《公司法》及《公司章程》的规定，大会主持情况等。</w:t>
            </w:r>
          </w:p>
        </w:tc>
      </w:tr>
    </w:tbl>
    <w:p>
      <w:pPr>
        <w:autoSpaceDN w:val="0"/>
        <w:autoSpaceDE w:val="0"/>
        <w:widowControl/>
        <w:spacing w:line="468" w:lineRule="exact" w:before="212" w:after="0"/>
        <w:ind w:left="360" w:right="244" w:firstLine="480"/>
        <w:jc w:val="both"/>
      </w:pPr>
      <w:r>
        <w:t>本次股东大会的表决方式符合《公司法》及《公司章程》的规定。本次会议 由公司董事会召集，董事长赵欣先生主持。公司部分董事、监事、公司董事会秘 书、公司聘请的见证律师出席了本次会议，公司其他高级管理人员列席了会议。</w:t>
      </w:r>
    </w:p>
    <w:p>
      <w:pPr>
        <w:sectPr>
          <w:pgSz w:w="11906" w:h="16838"/>
          <w:pgMar w:top="736" w:right="1440" w:bottom="804" w:left="1440" w:header="720" w:footer="720" w:gutter="0"/>
          <w:cols w:space="720" w:num="1" w:equalWidth="0">
            <w:col w:w="9026" w:space="0"/>
          </w:cols>
          <w:docGrid w:linePitch="360"/>
        </w:sectPr>
      </w:pPr>
      <w:r/>
    </w:p>
    <w:p>
      <w:pPr>
        <w:autoSpaceDN w:val="0"/>
        <w:autoSpaceDE w:val="0"/>
        <w:widowControl/>
        <w:spacing w:line="220" w:lineRule="exact" w:before="0" w:after="566"/>
        <w:ind w:left="0" w:right="0"/>
      </w:pPr>
      <w:r/>
    </w:p>
    <w:p>
      <w:pPr>
        <w:autoSpaceDN w:val="0"/>
        <w:tabs>
          <w:tab w:pos="1200" w:val="left"/>
        </w:tabs>
        <w:autoSpaceDE w:val="0"/>
        <w:widowControl/>
        <w:spacing w:line="282" w:lineRule="exact" w:before="0" w:after="0"/>
        <w:ind w:left="360" w:right="0" w:firstLine="0"/>
        <w:jc w:val="left"/>
      </w:pPr>
      <w:r>
        <w:t>(五) 公司董事、监事和董事会秘书的出席情况</w:t>
      </w:r>
    </w:p>
    <w:p>
      <w:pPr>
        <w:ind w:left="360"/>
      </w:pPr>
      <w:r>
        <w:t xml:space="preserve">1、公司在任董事 11 人，出席 5 人，董事杨朝晖、闫宗侠、任忠光、杜军、崔 明宏、独立董事孙志鸿因公务出差未能参会； </w:t>
      </w:r>
    </w:p>
    <w:p>
      <w:pPr>
        <w:ind w:left="360"/>
      </w:pPr>
      <w:r>
        <w:t xml:space="preserve">2、公司在任监事 3 人，出席 1 人，监事李向禹、石春明因公务出差未能参会； 3、公司副总经理、总会计师范宝，副总经理、董事会秘书侯伟，副总经理刘朝 辉，副总经理刘卫军列席了本次会议。 </w:t>
      </w:r>
    </w:p>
    <w:p>
      <w:pPr>
        <w:autoSpaceDN w:val="0"/>
        <w:tabs>
          <w:tab w:pos="1200" w:val="left"/>
        </w:tabs>
        <w:autoSpaceDE w:val="0"/>
        <w:widowControl/>
        <w:spacing w:line="240" w:lineRule="exact" w:before="712" w:after="0"/>
        <w:ind w:left="360" w:right="0" w:firstLine="0"/>
        <w:jc w:val="left"/>
      </w:pPr>
      <w:r>
        <w:t>二、议案审议情况</w:t>
      </w:r>
    </w:p>
    <w:p>
      <w:pPr>
        <w:autoSpaceDN w:val="0"/>
        <w:tabs>
          <w:tab w:pos="1200" w:val="left"/>
        </w:tabs>
        <w:autoSpaceDE w:val="0"/>
        <w:widowControl/>
        <w:spacing w:line="282" w:lineRule="exact" w:before="714" w:after="0"/>
        <w:ind w:left="360" w:right="0" w:firstLine="0"/>
        <w:jc w:val="left"/>
      </w:pPr>
      <w:r>
        <w:t>(一) 非累积投票议案</w:t>
      </w:r>
    </w:p>
    <w:p>
      <w:pPr>
        <w:autoSpaceDN w:val="0"/>
        <w:autoSpaceDE w:val="0"/>
        <w:widowControl/>
        <w:spacing w:line="266" w:lineRule="exact" w:before="538" w:after="0"/>
        <w:ind w:left="0" w:right="0" w:firstLine="0"/>
        <w:jc w:val="center"/>
      </w:pPr>
      <w:r>
        <w:t>1、议案名称：关于终止部分募集资金投资项目并将剩余募集资金永久补充流动</w:t>
      </w:r>
    </w:p>
    <w:p>
      <w:pPr>
        <w:autoSpaceDN w:val="0"/>
        <w:autoSpaceDE w:val="0"/>
        <w:widowControl/>
        <w:spacing w:line="240" w:lineRule="exact" w:before="276" w:after="0"/>
        <w:ind w:left="780" w:right="0" w:firstLine="0"/>
        <w:jc w:val="left"/>
      </w:pPr>
      <w:r>
        <w:t>资金的议案</w:t>
      </w:r>
    </w:p>
    <w:p>
      <w:pPr>
        <w:autoSpaceDN w:val="0"/>
        <w:autoSpaceDE w:val="0"/>
        <w:widowControl/>
        <w:spacing w:line="240" w:lineRule="exact" w:before="442" w:after="0"/>
        <w:ind w:left="720" w:right="0" w:firstLine="0"/>
        <w:jc w:val="left"/>
      </w:pPr>
      <w:r>
        <w:t>审议结果：通过</w:t>
      </w:r>
    </w:p>
    <w:p>
      <w:pPr>
        <w:autoSpaceDN w:val="0"/>
        <w:autoSpaceDE w:val="0"/>
        <w:widowControl/>
        <w:spacing w:line="240" w:lineRule="exact" w:before="384" w:after="40"/>
        <w:ind w:left="360" w:right="0" w:firstLine="0"/>
        <w:jc w:val="left"/>
      </w:pPr>
      <w:r>
        <w:t>表决情况：</w:t>
      </w:r>
    </w:p>
    <w:tbl>
      <w:tblPr>
        <w:tblW w:type="auto" w:w="0"/>
        <w:tblLayout w:type="fixed"/>
        <w:tblLook w:firstColumn="1" w:firstRow="1" w:lastColumn="0" w:lastRow="0" w:noHBand="0" w:noVBand="1" w:val="04A0"/>
        <w:tblInd w:w="254.00000000000006" w:type="dxa"/>
      </w:tblPr>
      <w:tblGrid>
        <w:gridCol w:w="1289"/>
        <w:gridCol w:w="1289"/>
        <w:gridCol w:w="1289"/>
        <w:gridCol w:w="1289"/>
        <w:gridCol w:w="1289"/>
        <w:gridCol w:w="1289"/>
        <w:gridCol w:w="1289"/>
      </w:tblGrid>
      <w:tr>
        <w:trPr>
          <w:trHeight w:hRule="exact" w:val="610"/>
        </w:trPr>
        <w:tc>
          <w:tcPr>
            <w:tcW w:type="dxa" w:w="1736"/>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382" w:right="0" w:firstLine="0"/>
              <w:jc w:val="left"/>
            </w:pPr>
            <w:r>
              <w:rPr>
                <w:rFonts w:ascii="ËÎÌå" w:hAnsi="ËÎÌå" w:eastAsia="ËÎÌå"/>
                <w:b w:val="0"/>
                <w:i w:val="0"/>
                <w:color w:val="000000"/>
                <w:sz w:val="24"/>
              </w:rPr>
              <w:t xml:space="preserve">股东类型 </w:t>
            </w:r>
          </w:p>
        </w:tc>
        <w:tc>
          <w:tcPr>
            <w:tcW w:type="dxa" w:w="2614"/>
            <w:gridSpan w:val="2"/>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944" w:firstLine="0"/>
              <w:jc w:val="right"/>
            </w:pPr>
            <w:r>
              <w:rPr>
                <w:rFonts w:ascii="ËÎÌå" w:hAnsi="ËÎÌå" w:eastAsia="ËÎÌå"/>
                <w:b w:val="0"/>
                <w:i w:val="0"/>
                <w:color w:val="000000"/>
                <w:sz w:val="24"/>
              </w:rPr>
              <w:t xml:space="preserve">同意 </w:t>
            </w:r>
          </w:p>
        </w:tc>
        <w:tc>
          <w:tcPr>
            <w:tcW w:type="dxa" w:w="2096"/>
            <w:gridSpan w:val="2"/>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686" w:firstLine="0"/>
              <w:jc w:val="right"/>
            </w:pPr>
            <w:r>
              <w:rPr>
                <w:rFonts w:ascii="ËÎÌå" w:hAnsi="ËÎÌå" w:eastAsia="ËÎÌå"/>
                <w:b w:val="0"/>
                <w:i w:val="0"/>
                <w:color w:val="000000"/>
                <w:sz w:val="24"/>
              </w:rPr>
              <w:t xml:space="preserve">反对 </w:t>
            </w:r>
          </w:p>
        </w:tc>
        <w:tc>
          <w:tcPr>
            <w:tcW w:type="dxa" w:w="2078"/>
            <w:gridSpan w:val="2"/>
            <w:tcBorders>
              <w:start w:sz="3.199999999999818"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274" w:after="0"/>
              <w:ind w:left="0" w:right="674" w:firstLine="0"/>
              <w:jc w:val="right"/>
            </w:pPr>
            <w:r>
              <w:rPr>
                <w:rFonts w:ascii="ËÎÌå" w:hAnsi="ËÎÌå" w:eastAsia="ËÎÌå"/>
                <w:b w:val="0"/>
                <w:i w:val="0"/>
                <w:color w:val="000000"/>
                <w:sz w:val="24"/>
              </w:rPr>
              <w:t xml:space="preserve">弃权 </w:t>
            </w:r>
          </w:p>
        </w:tc>
      </w:tr>
      <w:tr>
        <w:trPr>
          <w:trHeight w:hRule="exact" w:val="1210"/>
        </w:trPr>
        <w:tc>
          <w:tcPr>
            <w:tcW w:type="dxa" w:w="1289"/>
            <w:vMerge/>
            <w:tcBorders>
              <w:start w:sz="4.0" w:val="single" w:color="#000000"/>
              <w:top w:sz="4.0" w:val="single" w:color="#000000"/>
              <w:end w:sz="3.199999999999818" w:val="single" w:color="#000000"/>
              <w:bottom w:sz="4.0" w:val="single" w:color="#000000"/>
            </w:tcBorders>
          </w:tcPr>
          <w:p/>
        </w:tc>
        <w:tc>
          <w:tcPr>
            <w:tcW w:type="dxa" w:w="15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0" w:right="416" w:firstLine="0"/>
              <w:jc w:val="right"/>
            </w:pPr>
            <w:r>
              <w:rPr>
                <w:rFonts w:ascii="ËÎÌå" w:hAnsi="ËÎÌå" w:eastAsia="ËÎÌå"/>
                <w:b w:val="0"/>
                <w:i w:val="0"/>
                <w:color w:val="000000"/>
                <w:sz w:val="24"/>
              </w:rPr>
              <w:t xml:space="preserve">票数 </w:t>
            </w:r>
          </w:p>
        </w:tc>
        <w:tc>
          <w:tcPr>
            <w:tcW w:type="dxa" w:w="10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exact" w:before="274" w:after="0"/>
              <w:ind w:left="102" w:right="0" w:firstLine="0"/>
              <w:jc w:val="left"/>
            </w:pPr>
            <w:r>
              <w:rPr>
                <w:rFonts w:ascii="ËÎÌå" w:hAnsi="ËÎÌå" w:eastAsia="ËÎÌå"/>
                <w:b w:val="0"/>
                <w:i w:val="0"/>
                <w:color w:val="000000"/>
                <w:sz w:val="24"/>
              </w:rPr>
              <w:t xml:space="preserve">比例（%） </w:t>
            </w:r>
          </w:p>
        </w:tc>
        <w:tc>
          <w:tcPr>
            <w:tcW w:type="dxa" w:w="111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0" w:right="194" w:firstLine="0"/>
              <w:jc w:val="right"/>
            </w:pPr>
            <w:r>
              <w:rPr>
                <w:rFonts w:ascii="ËÎÌå" w:hAnsi="ËÎÌå" w:eastAsia="ËÎÌå"/>
                <w:b w:val="0"/>
                <w:i w:val="0"/>
                <w:color w:val="000000"/>
                <w:sz w:val="24"/>
              </w:rPr>
              <w:t xml:space="preserve">票数 </w:t>
            </w:r>
          </w:p>
        </w:tc>
        <w:tc>
          <w:tcPr>
            <w:tcW w:type="dxa" w:w="978"/>
            <w:tcBorders>
              <w:start w:sz="4.0" w:val="single" w:color="#000000"/>
              <w:top w:sz="4.0" w:val="single" w:color="#000000"/>
              <w:end w:sz="3.199999999999818" w:val="single" w:color="#000000"/>
              <w:bottom w:sz="4.0" w:val="single" w:color="#000000"/>
            </w:tcBorders>
            <w:tcMar>
              <w:start w:w="0" w:type="dxa"/>
              <w:end w:w="0" w:type="dxa"/>
            </w:tcMar>
          </w:tcPr>
          <w:p>
            <w:pPr>
              <w:autoSpaceDN w:val="0"/>
              <w:tabs>
                <w:tab w:pos="242" w:val="left"/>
              </w:tabs>
              <w:autoSpaceDE w:val="0"/>
              <w:widowControl/>
              <w:spacing w:line="558" w:lineRule="exact" w:before="0" w:after="0"/>
              <w:ind w:left="182"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c>
          <w:tcPr>
            <w:tcW w:type="dxa" w:w="109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4" w:after="0"/>
              <w:ind w:left="0" w:right="182" w:firstLine="0"/>
              <w:jc w:val="right"/>
            </w:pPr>
            <w:r>
              <w:rPr>
                <w:rFonts w:ascii="ËÎÌå" w:hAnsi="ËÎÌå" w:eastAsia="ËÎÌå"/>
                <w:b w:val="0"/>
                <w:i w:val="0"/>
                <w:color w:val="000000"/>
                <w:sz w:val="24"/>
              </w:rPr>
              <w:t xml:space="preserve">票数 </w:t>
            </w:r>
          </w:p>
        </w:tc>
        <w:tc>
          <w:tcPr>
            <w:tcW w:type="dxa" w:w="980"/>
            <w:tcBorders>
              <w:start w:sz="4.0" w:val="single" w:color="#000000"/>
              <w:top w:sz="4.0" w:val="single" w:color="#000000"/>
              <w:end w:sz="4.0" w:val="single" w:color="#000000"/>
              <w:bottom w:sz="4.0" w:val="single" w:color="#000000"/>
            </w:tcBorders>
            <w:tcMar>
              <w:start w:w="0" w:type="dxa"/>
              <w:end w:w="0" w:type="dxa"/>
            </w:tcMar>
          </w:tcPr>
          <w:p>
            <w:pPr>
              <w:autoSpaceDN w:val="0"/>
              <w:tabs>
                <w:tab w:pos="244" w:val="left"/>
              </w:tabs>
              <w:autoSpaceDE w:val="0"/>
              <w:widowControl/>
              <w:spacing w:line="558" w:lineRule="exact" w:before="0" w:after="0"/>
              <w:ind w:left="184" w:right="0" w:firstLine="0"/>
              <w:jc w:val="left"/>
            </w:pPr>
            <w:r>
              <w:rPr>
                <w:rFonts w:ascii="ËÎÌå" w:hAnsi="ËÎÌå" w:eastAsia="ËÎÌå"/>
                <w:b w:val="0"/>
                <w:i w:val="0"/>
                <w:color w:val="000000"/>
                <w:sz w:val="24"/>
              </w:rPr>
              <w:t>比例</w:t>
            </w:r>
            <w:r>
              <w:br/>
            </w:r>
            <w:r>
              <w:rPr>
                <w:rFonts w:ascii="ËÎÌå" w:hAnsi="ËÎÌå" w:eastAsia="ËÎÌå"/>
                <w:b w:val="0"/>
                <w:i w:val="0"/>
                <w:color w:val="000000"/>
                <w:sz w:val="24"/>
              </w:rPr>
              <w:t xml:space="preserve">（%） </w:t>
            </w:r>
          </w:p>
        </w:tc>
      </w:tr>
      <w:tr>
        <w:trPr>
          <w:trHeight w:hRule="exact" w:val="610"/>
        </w:trPr>
        <w:tc>
          <w:tcPr>
            <w:tcW w:type="dxa" w:w="173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exact" w:before="272" w:after="0"/>
              <w:ind w:left="0" w:right="536" w:firstLine="0"/>
              <w:jc w:val="right"/>
            </w:pPr>
            <w:r>
              <w:rPr>
                <w:rFonts w:ascii="ËÎÌå" w:hAnsi="ËÎÌå" w:eastAsia="ËÎÌå"/>
                <w:b w:val="0"/>
                <w:i w:val="0"/>
                <w:color w:val="000000"/>
                <w:sz w:val="24"/>
              </w:rPr>
              <w:t xml:space="preserve">A 股 </w:t>
            </w:r>
          </w:p>
        </w:tc>
        <w:tc>
          <w:tcPr>
            <w:tcW w:type="dxa" w:w="155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2" w:after="0"/>
              <w:ind w:left="126" w:right="0" w:firstLine="0"/>
              <w:jc w:val="left"/>
            </w:pPr>
            <w:r>
              <w:rPr>
                <w:rFonts w:ascii="ËÎÌå" w:hAnsi="ËÎÌå" w:eastAsia="ËÎÌå"/>
                <w:b w:val="0"/>
                <w:i w:val="0"/>
                <w:color w:val="000000"/>
                <w:sz w:val="24"/>
              </w:rPr>
              <w:t xml:space="preserve">560,284,889 </w:t>
            </w:r>
          </w:p>
        </w:tc>
        <w:tc>
          <w:tcPr>
            <w:tcW w:type="dxa" w:w="105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exact" w:before="272" w:after="0"/>
              <w:ind w:left="102" w:right="0" w:firstLine="0"/>
              <w:jc w:val="left"/>
            </w:pPr>
            <w:r>
              <w:rPr>
                <w:rFonts w:ascii="ËÎÌå" w:hAnsi="ËÎÌå" w:eastAsia="ËÎÌå"/>
                <w:b w:val="0"/>
                <w:i w:val="0"/>
                <w:color w:val="000000"/>
                <w:sz w:val="24"/>
              </w:rPr>
              <w:t xml:space="preserve">99.9094 </w:t>
            </w:r>
          </w:p>
        </w:tc>
        <w:tc>
          <w:tcPr>
            <w:tcW w:type="dxa" w:w="111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2" w:after="0"/>
              <w:ind w:left="166" w:right="0" w:firstLine="0"/>
              <w:jc w:val="left"/>
            </w:pPr>
            <w:r>
              <w:rPr>
                <w:rFonts w:ascii="ËÎÌå" w:hAnsi="ËÎÌå" w:eastAsia="ËÎÌå"/>
                <w:b w:val="0"/>
                <w:i w:val="0"/>
                <w:color w:val="000000"/>
                <w:sz w:val="24"/>
              </w:rPr>
              <w:t xml:space="preserve">508,000 </w:t>
            </w:r>
          </w:p>
        </w:tc>
        <w:tc>
          <w:tcPr>
            <w:tcW w:type="dxa" w:w="97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0" w:lineRule="exact" w:before="272" w:after="0"/>
              <w:ind w:left="144" w:right="0" w:firstLine="0"/>
              <w:jc w:val="left"/>
            </w:pPr>
            <w:r>
              <w:rPr>
                <w:rFonts w:ascii="ËÎÌå" w:hAnsi="ËÎÌå" w:eastAsia="ËÎÌå"/>
                <w:b w:val="0"/>
                <w:i w:val="0"/>
                <w:color w:val="000000"/>
                <w:sz w:val="24"/>
              </w:rPr>
              <w:t xml:space="preserve">0.0906 </w:t>
            </w:r>
          </w:p>
        </w:tc>
        <w:tc>
          <w:tcPr>
            <w:tcW w:type="dxa" w:w="109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2" w:after="0"/>
              <w:ind w:left="0" w:right="0" w:firstLine="0"/>
              <w:jc w:val="right"/>
            </w:pPr>
            <w:r>
              <w:rPr>
                <w:rFonts w:ascii="ËÎÌå" w:hAnsi="ËÎÌå" w:eastAsia="ËÎÌå"/>
                <w:b w:val="0"/>
                <w:i w:val="0"/>
                <w:color w:val="000000"/>
                <w:sz w:val="24"/>
              </w:rPr>
              <w:t xml:space="preserve">0 </w:t>
            </w:r>
          </w:p>
        </w:tc>
        <w:tc>
          <w:tcPr>
            <w:tcW w:type="dxa" w:w="9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0" w:lineRule="exact" w:before="272" w:after="0"/>
              <w:ind w:left="146" w:right="0" w:firstLine="0"/>
              <w:jc w:val="left"/>
            </w:pPr>
            <w:r>
              <w:rPr>
                <w:rFonts w:ascii="ËÎÌå" w:hAnsi="ËÎÌå" w:eastAsia="ËÎÌå"/>
                <w:b w:val="0"/>
                <w:i w:val="0"/>
                <w:color w:val="000000"/>
                <w:sz w:val="24"/>
              </w:rPr>
              <w:t xml:space="preserve">0.0000 </w:t>
            </w:r>
          </w:p>
        </w:tc>
      </w:tr>
    </w:tbl>
    <w:p>
      <w:pPr>
        <w:autoSpaceDN w:val="0"/>
        <w:tabs>
          <w:tab w:pos="1200" w:val="left"/>
        </w:tabs>
        <w:autoSpaceDE w:val="0"/>
        <w:widowControl/>
        <w:spacing w:line="282" w:lineRule="exact" w:before="1012" w:after="390"/>
        <w:ind w:left="360" w:right="0" w:firstLine="0"/>
        <w:jc w:val="left"/>
      </w:pPr>
      <w:r>
        <w:t>(二) 涉及重大事项，5%以下股东的表决情况</w:t>
      </w:r>
    </w:p>
    <w:tbl>
      <w:tblPr>
        <w:tblW w:type="auto" w:w="0"/>
        <w:tblLayout w:type="fixed"/>
        <w:tblLook w:firstColumn="1" w:firstRow="1" w:lastColumn="0" w:lastRow="0" w:noHBand="0" w:noVBand="1" w:val="04A0"/>
        <w:tblInd w:w="254.00000000000006" w:type="dxa"/>
      </w:tblPr>
      <w:tblGrid>
        <w:gridCol w:w="1128"/>
        <w:gridCol w:w="1128"/>
        <w:gridCol w:w="1128"/>
        <w:gridCol w:w="1128"/>
        <w:gridCol w:w="1128"/>
        <w:gridCol w:w="1128"/>
        <w:gridCol w:w="1128"/>
        <w:gridCol w:w="1128"/>
      </w:tblGrid>
      <w:tr>
        <w:trPr>
          <w:trHeight w:hRule="exact" w:val="322"/>
        </w:trPr>
        <w:tc>
          <w:tcPr>
            <w:tcW w:type="dxa" w:w="846"/>
            <w:vMerge w:val="restart"/>
            <w:tcBorders>
              <w:start w:sz="4.0" w:val="single" w:color="#000000"/>
              <w:top w:sz="4.0" w:val="single" w:color="#000000"/>
              <w:end w:sz="4.0" w:val="single" w:color="#000000"/>
              <w:bottom w:sz="3.2000000000007276" w:val="single" w:color="#000000"/>
            </w:tcBorders>
            <w:tcMar>
              <w:start w:w="0" w:type="dxa"/>
              <w:end w:w="0" w:type="dxa"/>
            </w:tcMar>
            <w:tcMar>
              <w:start w:w="0" w:type="dxa"/>
              <w:end w:w="0" w:type="dxa"/>
            </w:tcMar>
          </w:tcPr>
          <w:p>
            <w:pPr>
              <w:autoSpaceDN w:val="0"/>
              <w:autoSpaceDE w:val="0"/>
              <w:widowControl/>
              <w:spacing w:line="292" w:lineRule="exact" w:before="0" w:after="0"/>
              <w:ind w:left="144" w:right="144" w:firstLine="0"/>
              <w:jc w:val="center"/>
            </w:pPr>
            <w:r>
              <w:rPr>
                <w:rFonts w:ascii="ËÎÌå" w:hAnsi="ËÎÌå" w:eastAsia="ËÎÌå"/>
                <w:b w:val="0"/>
                <w:i w:val="0"/>
                <w:color w:val="000000"/>
                <w:sz w:val="24"/>
              </w:rPr>
              <w:t xml:space="preserve">议案 </w:t>
            </w:r>
            <w:r>
              <w:rPr>
                <w:rFonts w:ascii="ËÎÌå" w:hAnsi="ËÎÌå" w:eastAsia="ËÎÌå"/>
                <w:b w:val="0"/>
                <w:i w:val="0"/>
                <w:color w:val="000000"/>
                <w:sz w:val="24"/>
              </w:rPr>
              <w:t>序号</w:t>
            </w:r>
          </w:p>
        </w:tc>
        <w:tc>
          <w:tcPr>
            <w:tcW w:type="dxa" w:w="1812"/>
            <w:vMerge w:val="restart"/>
            <w:tcBorders>
              <w:start w:sz="4.0" w:val="single" w:color="#000000"/>
              <w:top w:sz="4.0" w:val="single" w:color="#000000"/>
              <w:end w:sz="3.2000000000000455" w:val="single" w:color="#000000"/>
              <w:bottom w:sz="3.2000000000007276"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议案名称</w:t>
            </w:r>
          </w:p>
        </w:tc>
        <w:tc>
          <w:tcPr>
            <w:tcW w:type="dxa" w:w="1912"/>
            <w:gridSpan w:val="2"/>
            <w:tcBorders>
              <w:start w:sz="3.2000000000000455"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同意</w:t>
            </w:r>
          </w:p>
        </w:tc>
        <w:tc>
          <w:tcPr>
            <w:tcW w:type="dxa" w:w="1918"/>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反对</w:t>
            </w:r>
          </w:p>
        </w:tc>
        <w:tc>
          <w:tcPr>
            <w:tcW w:type="dxa" w:w="2036"/>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0" w:lineRule="exact" w:before="34" w:after="0"/>
              <w:ind w:left="0" w:right="0" w:firstLine="0"/>
              <w:jc w:val="center"/>
            </w:pPr>
            <w:r>
              <w:rPr>
                <w:rFonts w:ascii="ËÎÌå" w:hAnsi="ËÎÌå" w:eastAsia="ËÎÌå"/>
                <w:b w:val="0"/>
                <w:i w:val="0"/>
                <w:color w:val="000000"/>
                <w:sz w:val="24"/>
              </w:rPr>
              <w:t>弃权</w:t>
            </w:r>
          </w:p>
        </w:tc>
      </w:tr>
      <w:tr>
        <w:trPr>
          <w:trHeight w:hRule="exact" w:val="320"/>
        </w:trPr>
        <w:tc>
          <w:tcPr>
            <w:tcW w:type="dxa" w:w="1128"/>
            <w:vMerge/>
            <w:tcBorders>
              <w:start w:sz="4.0" w:val="single" w:color="#000000"/>
              <w:top w:sz="4.0" w:val="single" w:color="#000000"/>
              <w:end w:sz="4.0" w:val="single" w:color="#000000"/>
              <w:bottom w:sz="3.2000000000007276" w:val="single" w:color="#000000"/>
            </w:tcBorders>
          </w:tcPr>
          <w:p/>
        </w:tc>
        <w:tc>
          <w:tcPr>
            <w:tcW w:type="dxa" w:w="1128"/>
            <w:vMerge/>
            <w:tcBorders>
              <w:start w:sz="4.0" w:val="single" w:color="#000000"/>
              <w:top w:sz="4.0" w:val="single" w:color="#000000"/>
              <w:end w:sz="3.2000000000000455" w:val="single" w:color="#000000"/>
              <w:bottom w:sz="3.2000000000007276" w:val="single" w:color="#000000"/>
            </w:tcBorders>
          </w:tcPr>
          <w:p/>
        </w:tc>
        <w:tc>
          <w:tcPr>
            <w:tcW w:type="dxa" w:w="852"/>
            <w:tcBorders>
              <w:start w:sz="3.2000000000000455" w:val="single" w:color="#000000"/>
              <w:top w:sz="4.0" w:val="single" w:color="#000000"/>
              <w:end w:sz="3.199999999999818" w:val="single" w:color="#000000"/>
              <w:bottom w:sz="3.2000000000007276" w:val="single" w:color="#000000"/>
            </w:tcBorders>
            <w:tcMar>
              <w:start w:w="0" w:type="dxa"/>
              <w:end w:w="0" w:type="dxa"/>
            </w:tcMar>
          </w:tcPr>
          <w:p>
            <w:pPr>
              <w:autoSpaceDN w:val="0"/>
              <w:autoSpaceDE w:val="0"/>
              <w:widowControl/>
              <w:spacing w:line="240" w:lineRule="exact" w:before="30" w:after="0"/>
              <w:ind w:left="182" w:right="0" w:firstLine="0"/>
              <w:jc w:val="left"/>
            </w:pPr>
            <w:r>
              <w:rPr>
                <w:rFonts w:ascii="ËÎÌå" w:hAnsi="ËÎÌå" w:eastAsia="ËÎÌå"/>
                <w:b w:val="0"/>
                <w:i w:val="0"/>
                <w:color w:val="000000"/>
                <w:sz w:val="24"/>
              </w:rPr>
              <w:t xml:space="preserve">票数 </w:t>
            </w:r>
          </w:p>
        </w:tc>
        <w:tc>
          <w:tcPr>
            <w:tcW w:type="dxa" w:w="1060"/>
            <w:tcBorders>
              <w:start w:sz="3.199999999999818"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30" w:after="0"/>
              <w:ind w:left="104" w:right="0" w:firstLine="0"/>
              <w:jc w:val="left"/>
            </w:pPr>
            <w:r>
              <w:rPr>
                <w:rFonts w:ascii="ËÎÌå" w:hAnsi="ËÎÌå" w:eastAsia="ËÎÌå"/>
                <w:b w:val="0"/>
                <w:i w:val="0"/>
                <w:color w:val="000000"/>
                <w:sz w:val="24"/>
              </w:rPr>
              <w:t xml:space="preserve">比例（%） </w:t>
            </w:r>
          </w:p>
        </w:tc>
        <w:tc>
          <w:tcPr>
            <w:tcW w:type="dxa" w:w="848"/>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30" w:after="0"/>
              <w:ind w:left="180" w:right="0" w:firstLine="0"/>
              <w:jc w:val="left"/>
            </w:pPr>
            <w:r>
              <w:rPr>
                <w:rFonts w:ascii="ËÎÌå" w:hAnsi="ËÎÌå" w:eastAsia="ËÎÌå"/>
                <w:b w:val="0"/>
                <w:i w:val="0"/>
                <w:color w:val="000000"/>
                <w:sz w:val="24"/>
              </w:rPr>
              <w:t xml:space="preserve">票数 </w:t>
            </w:r>
          </w:p>
        </w:tc>
        <w:tc>
          <w:tcPr>
            <w:tcW w:type="dxa" w:w="107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30" w:after="0"/>
              <w:ind w:left="100" w:right="0" w:firstLine="0"/>
              <w:jc w:val="left"/>
            </w:pPr>
            <w:r>
              <w:rPr>
                <w:rFonts w:ascii="ËÎÌå" w:hAnsi="ËÎÌå" w:eastAsia="ËÎÌå"/>
                <w:b w:val="0"/>
                <w:i w:val="0"/>
                <w:color w:val="000000"/>
                <w:sz w:val="24"/>
              </w:rPr>
              <w:t xml:space="preserve">比例（%） </w:t>
            </w:r>
          </w:p>
        </w:tc>
        <w:tc>
          <w:tcPr>
            <w:tcW w:type="dxa" w:w="85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30" w:after="0"/>
              <w:ind w:left="178" w:right="0" w:firstLine="0"/>
              <w:jc w:val="left"/>
            </w:pPr>
            <w:r>
              <w:rPr>
                <w:rFonts w:ascii="ËÎÌå" w:hAnsi="ËÎÌå" w:eastAsia="ËÎÌå"/>
                <w:b w:val="0"/>
                <w:i w:val="0"/>
                <w:color w:val="000000"/>
                <w:sz w:val="24"/>
              </w:rPr>
              <w:t xml:space="preserve">票数 </w:t>
            </w:r>
          </w:p>
        </w:tc>
        <w:tc>
          <w:tcPr>
            <w:tcW w:type="dxa" w:w="1186"/>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40" w:lineRule="exact" w:before="30" w:after="0"/>
              <w:ind w:left="100" w:right="0" w:firstLine="0"/>
              <w:jc w:val="left"/>
            </w:pPr>
            <w:r>
              <w:rPr>
                <w:rFonts w:ascii="ËÎÌå" w:hAnsi="ËÎÌå" w:eastAsia="ËÎÌå"/>
                <w:b w:val="0"/>
                <w:i w:val="0"/>
                <w:color w:val="000000"/>
                <w:sz w:val="24"/>
              </w:rPr>
              <w:t xml:space="preserve">比例（%） </w:t>
            </w:r>
          </w:p>
        </w:tc>
      </w:tr>
      <w:tr>
        <w:trPr>
          <w:trHeight w:hRule="exact" w:val="1238"/>
        </w:trPr>
        <w:tc>
          <w:tcPr>
            <w:tcW w:type="dxa" w:w="846"/>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34" w:after="0"/>
              <w:ind w:left="100" w:right="0" w:firstLine="0"/>
              <w:jc w:val="left"/>
            </w:pPr>
            <w:r>
              <w:rPr>
                <w:rFonts w:ascii="ËÎÌå" w:hAnsi="ËÎÌå" w:eastAsia="ËÎÌå"/>
                <w:b w:val="0"/>
                <w:i w:val="0"/>
                <w:color w:val="000000"/>
                <w:sz w:val="24"/>
              </w:rPr>
              <w:t xml:space="preserve">1 </w:t>
            </w:r>
          </w:p>
        </w:tc>
        <w:tc>
          <w:tcPr>
            <w:tcW w:type="dxa" w:w="1812"/>
            <w:tcBorders>
              <w:start w:sz="4.0" w:val="single" w:color="#000000"/>
              <w:top w:sz="3.2000000000007276" w:val="single" w:color="#000000"/>
              <w:end w:sz="3.2000000000000455" w:val="single" w:color="#000000"/>
              <w:bottom w:sz="3.199999999999818" w:val="single" w:color="#000000"/>
            </w:tcBorders>
            <w:tcMar>
              <w:start w:w="0" w:type="dxa"/>
              <w:end w:w="0" w:type="dxa"/>
            </w:tcMar>
          </w:tcPr>
          <w:p>
            <w:pPr>
              <w:autoSpaceDN w:val="0"/>
              <w:autoSpaceDE w:val="0"/>
              <w:widowControl/>
              <w:spacing w:line="302" w:lineRule="exact" w:before="0" w:after="0"/>
              <w:ind w:left="102" w:right="106" w:firstLine="0"/>
              <w:jc w:val="both"/>
            </w:pPr>
            <w:r>
              <w:rPr>
                <w:rFonts w:ascii="ËÎÌå" w:hAnsi="ËÎÌå" w:eastAsia="ËÎÌå"/>
                <w:b w:val="0"/>
                <w:i w:val="0"/>
                <w:color w:val="000000"/>
                <w:sz w:val="24"/>
              </w:rPr>
              <w:t xml:space="preserve">关于终止部分 </w:t>
            </w:r>
            <w:r>
              <w:rPr>
                <w:rFonts w:ascii="ËÎÌå" w:hAnsi="ËÎÌå" w:eastAsia="ËÎÌå"/>
                <w:b w:val="0"/>
                <w:i w:val="0"/>
                <w:color w:val="000000"/>
                <w:sz w:val="24"/>
              </w:rPr>
              <w:t xml:space="preserve">募集资金投资 </w:t>
            </w:r>
            <w:r>
              <w:rPr>
                <w:rFonts w:ascii="ËÎÌå" w:hAnsi="ËÎÌå" w:eastAsia="ËÎÌå"/>
                <w:b w:val="0"/>
                <w:i w:val="0"/>
                <w:color w:val="000000"/>
                <w:sz w:val="24"/>
              </w:rPr>
              <w:t xml:space="preserve">项目并将剩余 </w:t>
            </w:r>
            <w:r>
              <w:rPr>
                <w:rFonts w:ascii="ËÎÌå" w:hAnsi="ËÎÌå" w:eastAsia="ËÎÌå"/>
                <w:b w:val="0"/>
                <w:i w:val="0"/>
                <w:color w:val="000000"/>
                <w:sz w:val="24"/>
              </w:rPr>
              <w:t>募集资金永久</w:t>
            </w:r>
          </w:p>
        </w:tc>
        <w:tc>
          <w:tcPr>
            <w:tcW w:type="dxa" w:w="852"/>
            <w:tcBorders>
              <w:start w:sz="3.2000000000000455" w:val="single" w:color="#000000"/>
              <w:top w:sz="3.2000000000007276" w:val="single" w:color="#000000"/>
              <w:end w:sz="3.199999999999818" w:val="single" w:color="#000000"/>
              <w:bottom w:sz="3.199999999999818" w:val="single" w:color="#000000"/>
            </w:tcBorders>
            <w:tcMar>
              <w:start w:w="0" w:type="dxa"/>
              <w:end w:w="0" w:type="dxa"/>
            </w:tcMar>
          </w:tcPr>
          <w:p>
            <w:pPr>
              <w:autoSpaceDN w:val="0"/>
              <w:autoSpaceDE w:val="0"/>
              <w:widowControl/>
              <w:spacing w:line="292" w:lineRule="exact" w:before="0" w:after="0"/>
              <w:ind w:left="138" w:right="0" w:firstLine="0"/>
              <w:jc w:val="left"/>
            </w:pPr>
            <w:r>
              <w:rPr>
                <w:rFonts w:ascii="ËÎÌå" w:hAnsi="ËÎÌå" w:eastAsia="ËÎÌå"/>
                <w:b w:val="0"/>
                <w:i w:val="0"/>
                <w:color w:val="000000"/>
                <w:sz w:val="24"/>
              </w:rPr>
              <w:t xml:space="preserve">89,10 </w:t>
            </w:r>
            <w:r>
              <w:br/>
            </w:r>
            <w:r>
              <w:rPr>
                <w:rFonts w:ascii="ËÎÌå" w:hAnsi="ËÎÌå" w:eastAsia="ËÎÌå"/>
                <w:b w:val="0"/>
                <w:i w:val="0"/>
                <w:color w:val="000000"/>
                <w:sz w:val="24"/>
              </w:rPr>
              <w:t xml:space="preserve">4,458 </w:t>
            </w:r>
          </w:p>
        </w:tc>
        <w:tc>
          <w:tcPr>
            <w:tcW w:type="dxa" w:w="1060"/>
            <w:tcBorders>
              <w:start w:sz="3.199999999999818"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34" w:after="0"/>
              <w:ind w:left="110" w:right="0" w:firstLine="0"/>
              <w:jc w:val="left"/>
            </w:pPr>
            <w:r>
              <w:rPr>
                <w:rFonts w:ascii="ËÎÌå" w:hAnsi="ËÎÌå" w:eastAsia="ËÎÌå"/>
                <w:b w:val="0"/>
                <w:i w:val="0"/>
                <w:color w:val="000000"/>
                <w:sz w:val="24"/>
              </w:rPr>
              <w:t xml:space="preserve">99.4331 </w:t>
            </w:r>
          </w:p>
        </w:tc>
        <w:tc>
          <w:tcPr>
            <w:tcW w:type="dxa" w:w="848"/>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tabs>
                <w:tab w:pos="496" w:val="left"/>
              </w:tabs>
              <w:autoSpaceDE w:val="0"/>
              <w:widowControl/>
              <w:spacing w:line="292" w:lineRule="exact" w:before="0" w:after="0"/>
              <w:ind w:left="136" w:right="0" w:firstLine="0"/>
              <w:jc w:val="left"/>
            </w:pPr>
            <w:r>
              <w:rPr>
                <w:rFonts w:ascii="ËÎÌå" w:hAnsi="ËÎÌå" w:eastAsia="ËÎÌå"/>
                <w:b w:val="0"/>
                <w:i w:val="0"/>
                <w:color w:val="000000"/>
                <w:sz w:val="24"/>
              </w:rPr>
              <w:t xml:space="preserve">508,0 </w:t>
            </w:r>
            <w:r>
              <w:br/>
            </w:r>
            <w:r>
              <w:tab/>
            </w:r>
            <w:r>
              <w:rPr>
                <w:rFonts w:ascii="ËÎÌå" w:hAnsi="ËÎÌå" w:eastAsia="ËÎÌå"/>
                <w:b w:val="0"/>
                <w:i w:val="0"/>
                <w:color w:val="000000"/>
                <w:sz w:val="24"/>
              </w:rPr>
              <w:t xml:space="preserve">00 </w:t>
            </w:r>
          </w:p>
        </w:tc>
        <w:tc>
          <w:tcPr>
            <w:tcW w:type="dxa" w:w="1070"/>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34" w:after="0"/>
              <w:ind w:left="234" w:right="0" w:firstLine="0"/>
              <w:jc w:val="left"/>
            </w:pPr>
            <w:r>
              <w:rPr>
                <w:rFonts w:ascii="ËÎÌå" w:hAnsi="ËÎÌå" w:eastAsia="ËÎÌå"/>
                <w:b w:val="0"/>
                <w:i w:val="0"/>
                <w:color w:val="000000"/>
                <w:sz w:val="24"/>
              </w:rPr>
              <w:t xml:space="preserve">0.5669 </w:t>
            </w:r>
          </w:p>
        </w:tc>
        <w:tc>
          <w:tcPr>
            <w:tcW w:type="dxa" w:w="850"/>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34" w:after="0"/>
              <w:ind w:left="0" w:right="0" w:firstLine="0"/>
              <w:jc w:val="right"/>
            </w:pPr>
            <w:r>
              <w:rPr>
                <w:rFonts w:ascii="ËÎÌå" w:hAnsi="ËÎÌå" w:eastAsia="ËÎÌå"/>
                <w:b w:val="0"/>
                <w:i w:val="0"/>
                <w:color w:val="000000"/>
                <w:sz w:val="24"/>
              </w:rPr>
              <w:t xml:space="preserve">0 </w:t>
            </w:r>
          </w:p>
        </w:tc>
        <w:tc>
          <w:tcPr>
            <w:tcW w:type="dxa" w:w="1186"/>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34" w:after="0"/>
              <w:ind w:left="0" w:right="0" w:firstLine="0"/>
              <w:jc w:val="right"/>
            </w:pPr>
            <w:r>
              <w:rPr>
                <w:rFonts w:ascii="ËÎÌå" w:hAnsi="ËÎÌå" w:eastAsia="ËÎÌå"/>
                <w:b w:val="0"/>
                <w:i w:val="0"/>
                <w:color w:val="000000"/>
                <w:sz w:val="24"/>
              </w:rPr>
              <w:t xml:space="preserve">0.0000 </w:t>
            </w:r>
          </w:p>
        </w:tc>
      </w:tr>
    </w:tbl>
    <w:p>
      <w:pPr>
        <w:autoSpaceDN w:val="0"/>
        <w:autoSpaceDE w:val="0"/>
        <w:widowControl/>
        <w:spacing w:line="14" w:lineRule="exact" w:before="0" w:after="0"/>
        <w:ind w:left="0" w:right="0"/>
      </w:pPr>
      <w:r/>
    </w:p>
    <w:p>
      <w:pPr>
        <w:sectPr>
          <w:pgSz w:w="11906" w:h="16838"/>
          <w:pgMar w:top="784" w:right="1440" w:bottom="864" w:left="1440" w:header="720" w:footer="720" w:gutter="0"/>
          <w:cols w:space="720" w:num="1" w:equalWidth="0">
            <w:col w:w="9026" w:space="0"/>
            <w:col w:w="9026" w:space="0"/>
          </w:cols>
          <w:docGrid w:linePitch="360"/>
        </w:sectPr>
      </w:pPr>
      <w:r/>
    </w:p>
    <w:p>
      <w:pPr>
        <w:autoSpaceDN w:val="0"/>
        <w:autoSpaceDE w:val="0"/>
        <w:widowControl/>
        <w:spacing w:line="220" w:lineRule="exact" w:before="0" w:after="500"/>
        <w:ind w:left="0" w:right="0"/>
      </w:pPr>
      <w:r/>
    </w:p>
    <w:tbl>
      <w:tblPr>
        <w:tblW w:type="auto" w:w="0"/>
        <w:tblLayout w:type="fixed"/>
        <w:tblLook w:firstColumn="1" w:firstRow="1" w:lastColumn="0" w:lastRow="0" w:noHBand="0" w:noVBand="1" w:val="04A0"/>
        <w:tblInd w:w="254.00000000000006" w:type="dxa"/>
      </w:tblPr>
      <w:tblGrid>
        <w:gridCol w:w="1128"/>
        <w:gridCol w:w="1128"/>
        <w:gridCol w:w="1128"/>
        <w:gridCol w:w="1128"/>
        <w:gridCol w:w="1128"/>
        <w:gridCol w:w="1128"/>
        <w:gridCol w:w="1128"/>
        <w:gridCol w:w="1128"/>
      </w:tblGrid>
      <w:tr>
        <w:trPr>
          <w:trHeight w:hRule="exact" w:val="636"/>
        </w:trPr>
        <w:tc>
          <w:tcPr>
            <w:tcW w:type="dxa" w:w="846"/>
            <w:tcBorders>
              <w:start w:sz="4.0" w:val="single" w:color="#000000"/>
              <w:top w:sz="4.0" w:val="single" w:color="#000000"/>
              <w:end w:sz="4.0" w:val="single" w:color="#000000"/>
              <w:bottom w:sz="4.0" w:val="single" w:color="#000000"/>
            </w:tcBorders>
            <w:tcMar>
              <w:start w:w="0" w:type="dxa"/>
              <w:end w:w="0" w:type="dxa"/>
            </w:tcMar>
          </w:tcPr>
          <w:p/>
        </w:tc>
        <w:tc>
          <w:tcPr>
            <w:tcW w:type="dxa" w:w="181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92" w:lineRule="exact" w:before="0" w:after="0"/>
              <w:ind w:left="102" w:right="0" w:firstLine="0"/>
              <w:jc w:val="left"/>
            </w:pPr>
            <w:r>
              <w:rPr>
                <w:rFonts w:ascii="ËÎÌå" w:hAnsi="ËÎÌå" w:eastAsia="ËÎÌå"/>
                <w:b w:val="0"/>
                <w:i w:val="0"/>
                <w:color w:val="000000"/>
                <w:sz w:val="24"/>
              </w:rPr>
              <w:t xml:space="preserve">补充流动资金 </w:t>
            </w:r>
            <w:r>
              <w:rPr>
                <w:rFonts w:ascii="ËÎÌå" w:hAnsi="ËÎÌå" w:eastAsia="ËÎÌå"/>
                <w:b w:val="0"/>
                <w:i w:val="0"/>
                <w:color w:val="000000"/>
                <w:sz w:val="24"/>
              </w:rPr>
              <w:t xml:space="preserve">的议案 </w:t>
            </w:r>
          </w:p>
        </w:tc>
        <w:tc>
          <w:tcPr>
            <w:tcW w:type="dxa" w:w="852"/>
            <w:tcBorders>
              <w:start w:sz="3.2000000000000455" w:val="single" w:color="#000000"/>
              <w:top w:sz="4.0" w:val="single" w:color="#000000"/>
              <w:end w:sz="3.199999999999818" w:val="single" w:color="#000000"/>
              <w:bottom w:sz="4.0" w:val="single" w:color="#000000"/>
            </w:tcBorders>
            <w:tcMar>
              <w:start w:w="0" w:type="dxa"/>
              <w:end w:w="0" w:type="dxa"/>
            </w:tcMar>
          </w:tcPr>
          <w:p/>
        </w:tc>
        <w:tc>
          <w:tcPr>
            <w:tcW w:type="dxa" w:w="1060"/>
            <w:tcBorders>
              <w:start w:sz="3.199999999999818" w:val="single" w:color="#000000"/>
              <w:top w:sz="4.0" w:val="single" w:color="#000000"/>
              <w:end w:sz="4.0" w:val="single" w:color="#000000"/>
              <w:bottom w:sz="4.0" w:val="single" w:color="#000000"/>
            </w:tcBorders>
            <w:tcMar>
              <w:start w:w="0" w:type="dxa"/>
              <w:end w:w="0" w:type="dxa"/>
            </w:tcMar>
          </w:tcPr>
          <w:p/>
        </w:tc>
        <w:tc>
          <w:tcPr>
            <w:tcW w:type="dxa" w:w="848"/>
            <w:tcBorders>
              <w:start w:sz="4.0" w:val="single" w:color="#000000"/>
              <w:top w:sz="4.0" w:val="single" w:color="#000000"/>
              <w:end w:sz="4.0" w:val="single" w:color="#000000"/>
              <w:bottom w:sz="4.0" w:val="single" w:color="#000000"/>
            </w:tcBorders>
            <w:tcMar>
              <w:start w:w="0" w:type="dxa"/>
              <w:end w:w="0" w:type="dxa"/>
            </w:tcMar>
          </w:tcPr>
          <w:p/>
        </w:tc>
        <w:tc>
          <w:tcPr>
            <w:tcW w:type="dxa" w:w="1070"/>
            <w:tcBorders>
              <w:start w:sz="4.0" w:val="single" w:color="#000000"/>
              <w:top w:sz="4.0" w:val="single" w:color="#000000"/>
              <w:end w:sz="4.0" w:val="single" w:color="#000000"/>
              <w:bottom w:sz="4.0" w:val="single" w:color="#000000"/>
            </w:tcBorders>
            <w:tcMar>
              <w:start w:w="0" w:type="dxa"/>
              <w:end w:w="0" w:type="dxa"/>
            </w:tcMar>
          </w:tcPr>
          <w:p/>
        </w:tc>
        <w:tc>
          <w:tcPr>
            <w:tcW w:type="dxa" w:w="850"/>
            <w:tcBorders>
              <w:start w:sz="4.0" w:val="single" w:color="#000000"/>
              <w:top w:sz="4.0" w:val="single" w:color="#000000"/>
              <w:end w:sz="4.0" w:val="single" w:color="#000000"/>
              <w:bottom w:sz="4.0" w:val="single" w:color="#000000"/>
            </w:tcBorders>
            <w:tcMar>
              <w:start w:w="0" w:type="dxa"/>
              <w:end w:w="0" w:type="dxa"/>
            </w:tcMar>
          </w:tcPr>
          <w:p/>
        </w:tc>
        <w:tc>
          <w:tcPr>
            <w:tcW w:type="dxa" w:w="1186"/>
            <w:tcBorders>
              <w:start w:sz="4.0" w:val="single" w:color="#000000"/>
              <w:top w:sz="4.0" w:val="single" w:color="#000000"/>
              <w:end w:sz="4.0" w:val="single" w:color="#000000"/>
              <w:bottom w:sz="4.0" w:val="single" w:color="#000000"/>
            </w:tcBorders>
            <w:tcMar>
              <w:start w:w="0" w:type="dxa"/>
              <w:end w:w="0" w:type="dxa"/>
            </w:tcMar>
          </w:tcPr>
          <w:p/>
        </w:tc>
      </w:tr>
    </w:tbl>
    <w:p>
      <w:pPr>
        <w:autoSpaceDN w:val="0"/>
        <w:autoSpaceDE w:val="0"/>
        <w:widowControl/>
        <w:spacing w:line="950" w:lineRule="exact" w:before="0" w:after="0"/>
        <w:ind w:left="0" w:right="0"/>
      </w:pPr>
      <w:r/>
    </w:p>
    <w:tbl>
      <w:tblPr>
        <w:tblW w:type="auto" w:w="0"/>
        <w:tblLayout w:type="fixed"/>
        <w:tblLook w:firstColumn="1" w:firstRow="1" w:lastColumn="0" w:lastRow="0" w:noHBand="0" w:noVBand="1" w:val="04A0"/>
        <w:tblInd w:w="180.0" w:type="dxa"/>
      </w:tblPr>
      <w:tblGrid>
        <w:gridCol w:w="4513"/>
        <w:gridCol w:w="4513"/>
      </w:tblGrid>
      <w:tr>
        <w:trPr>
          <w:trHeight w:hRule="exact" w:val="402"/>
        </w:trPr>
        <w:tc>
          <w:tcPr>
            <w:tcW w:type="dxa" w:w="800"/>
            <w:tcBorders/>
            <w:tcMar>
              <w:start w:w="0" w:type="dxa"/>
              <w:end w:w="0" w:type="dxa"/>
            </w:tcMar>
          </w:tcPr>
          <w:p>
            <w:pPr>
              <w:autoSpaceDN w:val="0"/>
              <w:autoSpaceDE w:val="0"/>
              <w:widowControl/>
              <w:spacing w:line="282" w:lineRule="exact" w:before="60" w:after="0"/>
              <w:ind w:left="0" w:right="0" w:firstLine="0"/>
              <w:jc w:val="center"/>
            </w:pPr>
            <w:r>
              <w:rPr>
                <w:rFonts w:ascii="Cambria" w:hAnsi="Cambria" w:eastAsia="Cambria"/>
                <w:b w:val="0"/>
                <w:i w:val="0"/>
                <w:color w:val="000000"/>
                <w:sz w:val="24"/>
              </w:rPr>
              <w:t>(</w:t>
            </w:r>
            <w:r>
              <w:rPr>
                <w:rFonts w:ascii="ËÎÌå" w:hAnsi="ËÎÌå" w:eastAsia="ËÎÌå"/>
                <w:b w:val="0"/>
                <w:i w:val="0"/>
                <w:color w:val="000000"/>
                <w:sz w:val="24"/>
              </w:rPr>
              <w:t>三</w:t>
            </w:r>
            <w:r>
              <w:rPr>
                <w:rFonts w:ascii="Cambria" w:hAnsi="Cambria" w:eastAsia="Cambria"/>
                <w:b w:val="0"/>
                <w:i w:val="0"/>
                <w:color w:val="000000"/>
                <w:sz w:val="24"/>
              </w:rPr>
              <w:t>)</w:t>
            </w:r>
          </w:p>
        </w:tc>
        <w:tc>
          <w:tcPr>
            <w:tcW w:type="dxa" w:w="5680"/>
            <w:tcBorders/>
            <w:tcMar>
              <w:start w:w="0" w:type="dxa"/>
              <w:end w:w="0" w:type="dxa"/>
            </w:tcMar>
          </w:tcPr>
          <w:p>
            <w:pPr>
              <w:autoSpaceDN w:val="0"/>
              <w:autoSpaceDE w:val="0"/>
              <w:widowControl/>
              <w:spacing w:line="240" w:lineRule="exact" w:before="82" w:after="0"/>
              <w:ind w:left="220" w:right="0" w:firstLine="0"/>
              <w:jc w:val="left"/>
            </w:pPr>
            <w:r>
              <w:rPr>
                <w:rFonts w:ascii="ËÎÌå" w:hAnsi="ËÎÌå" w:eastAsia="ËÎÌå"/>
                <w:b w:val="0"/>
                <w:i w:val="0"/>
                <w:color w:val="000000"/>
                <w:sz w:val="24"/>
              </w:rPr>
              <w:t>关于议案表决的有关情况说明</w:t>
            </w:r>
          </w:p>
        </w:tc>
      </w:tr>
    </w:tbl>
    <w:p>
      <w:pPr>
        <w:autoSpaceDN w:val="0"/>
        <w:tabs>
          <w:tab w:pos="840" w:val="left"/>
        </w:tabs>
        <w:autoSpaceDE w:val="0"/>
        <w:widowControl/>
        <w:spacing w:line="468" w:lineRule="exact" w:before="216" w:after="0"/>
        <w:ind w:left="360" w:right="288" w:firstLine="0"/>
        <w:jc w:val="left"/>
      </w:pPr>
      <w:r>
        <w:t>上述议案经出席会议股东或股东代表所持有效表决权股份总数的二分之一 以上表决通过。</w:t>
      </w:r>
    </w:p>
    <w:p>
      <w:pPr>
        <w:autoSpaceDN w:val="0"/>
        <w:tabs>
          <w:tab w:pos="1200" w:val="left"/>
        </w:tabs>
        <w:autoSpaceDE w:val="0"/>
        <w:widowControl/>
        <w:spacing w:line="240" w:lineRule="exact" w:before="710" w:after="0"/>
        <w:ind w:left="360" w:right="0" w:firstLine="0"/>
        <w:jc w:val="left"/>
      </w:pPr>
      <w:r>
        <w:t>三、律师见证情况</w:t>
      </w:r>
    </w:p>
    <w:p>
      <w:pPr>
        <w:autoSpaceDN w:val="0"/>
        <w:autoSpaceDE w:val="0"/>
        <w:widowControl/>
        <w:spacing w:line="240" w:lineRule="exact" w:before="738" w:after="0"/>
        <w:ind w:left="360" w:right="0" w:firstLine="0"/>
        <w:jc w:val="left"/>
      </w:pPr>
      <w:r>
        <w:t xml:space="preserve">1、本次股东大会鉴证的律师事务所：新疆天阳律师事务所 </w:t>
      </w:r>
    </w:p>
    <w:p>
      <w:pPr>
        <w:autoSpaceDN w:val="0"/>
        <w:autoSpaceDE w:val="0"/>
        <w:widowControl/>
        <w:spacing w:line="240" w:lineRule="exact" w:before="440" w:after="0"/>
        <w:ind w:left="360" w:right="0" w:firstLine="0"/>
        <w:jc w:val="left"/>
      </w:pPr>
      <w:r>
        <w:t xml:space="preserve">律师：常娜娜、康晨 </w:t>
      </w:r>
    </w:p>
    <w:p>
      <w:pPr>
        <w:autoSpaceDN w:val="0"/>
        <w:autoSpaceDE w:val="0"/>
        <w:widowControl/>
        <w:spacing w:line="282" w:lineRule="exact" w:before="428" w:after="0"/>
        <w:ind w:left="360" w:right="0" w:firstLine="0"/>
        <w:jc w:val="left"/>
      </w:pPr>
      <w:r>
        <w:t>2、律师鉴证结论意见：</w:t>
      </w:r>
    </w:p>
    <w:p>
      <w:pPr>
        <w:autoSpaceDN w:val="0"/>
        <w:autoSpaceDE w:val="0"/>
        <w:widowControl/>
        <w:spacing w:line="468" w:lineRule="exact" w:before="276" w:after="0"/>
        <w:ind w:left="360" w:right="356" w:firstLine="480"/>
        <w:jc w:val="both"/>
      </w:pPr>
      <w:r>
        <w:t xml:space="preserve">新疆天阳律师事务所常娜娜律师和康晨律师对本次股东大会的召集、召开程 序、出席会议人员的资格、议案的表决程序等事项进行了见证并出具了法律意见 书。认为：公司二○一八年第二次临时股东大会的召集召开程序、出席本次股东 大会的人员资格、本次股东大会议案的表决方式、表决程序及表决结果，符合《公 司法》、《证券法》、《上市公司股东大会规则》等法律、法规、规范性文件以及《公 司章程》的有关规定，合法有效。 </w:t>
      </w:r>
    </w:p>
    <w:p>
      <w:pPr>
        <w:autoSpaceDN w:val="0"/>
        <w:tabs>
          <w:tab w:pos="1200" w:val="left"/>
        </w:tabs>
        <w:autoSpaceDE w:val="0"/>
        <w:widowControl/>
        <w:spacing w:line="240" w:lineRule="exact" w:before="710" w:after="0"/>
        <w:ind w:left="360" w:right="0" w:firstLine="0"/>
        <w:jc w:val="left"/>
      </w:pPr>
      <w:r>
        <w:t>四、备查文件目录</w:t>
      </w:r>
    </w:p>
    <w:p>
      <w:pPr>
        <w:autoSpaceDN w:val="0"/>
        <w:autoSpaceDE w:val="0"/>
        <w:widowControl/>
        <w:spacing w:line="280" w:lineRule="exact" w:before="716" w:after="0"/>
        <w:ind w:left="360" w:right="0" w:firstLine="0"/>
        <w:jc w:val="left"/>
      </w:pPr>
      <w:r>
        <w:t>1、经与会董事和记录人签字确认并加盖董事会印章的股东大会决议；</w:t>
      </w:r>
    </w:p>
    <w:p>
      <w:pPr>
        <w:autoSpaceDN w:val="0"/>
        <w:autoSpaceDE w:val="0"/>
        <w:widowControl/>
        <w:spacing w:line="282" w:lineRule="exact" w:before="518" w:after="0"/>
        <w:ind w:left="360" w:right="0" w:firstLine="0"/>
        <w:jc w:val="left"/>
      </w:pPr>
      <w:r>
        <w:t>2、经鉴证的律师事务所主任签字并加盖公章的法律意见书。</w:t>
      </w:r>
    </w:p>
    <w:p>
      <w:pPr>
        <w:ind w:left="5224"/>
      </w:pPr>
      <w:r>
        <w:t xml:space="preserve">中信国安葡萄酒业股份有限公司 </w:t>
      </w:r>
    </w:p>
    <w:p>
      <w:pPr>
        <w:ind w:left="5224"/>
      </w:pPr>
      <w:r>
        <w:t>2018 年 12 月 1 日</w:t>
      </w:r>
    </w:p>
    <w:sectPr w:rsidR="00FC693F" w:rsidRPr="0006063C" w:rsidSect="00034616">
      <w:pgSz w:w="11906" w:h="16838"/>
      <w:pgMar w:top="720" w:right="1440" w:bottom="908" w:left="1440" w:header="720" w:footer="720" w:gutter="0"/>
      <w:cols w:space="720" w:num="1" w:equalWidth="0">
        <w:col w:w="9026" w:space="0"/>
        <w:col w:w="9026" w:space="0"/>
        <w:col w:w="902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