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494"/>
        <w:ind w:left="0" w:right="0"/>
      </w:pPr>
      <w:r/>
    </w:p>
    <w:p>
      <w:pPr>
        <w:autoSpaceDN w:val="0"/>
        <w:autoSpaceDE w:val="0"/>
        <w:widowControl/>
        <w:spacing w:line="332" w:lineRule="exact" w:before="0" w:after="0"/>
        <w:ind w:left="0" w:right="0" w:firstLine="0"/>
        <w:jc w:val="center"/>
      </w:pPr>
      <w:r>
        <w:t xml:space="preserve">证券代码：603519         证券简称：立霸股份公告编号：2018-054 </w:t>
      </w:r>
    </w:p>
    <w:p>
      <w:pPr>
        <w:autoSpaceDN w:val="0"/>
        <w:autoSpaceDE w:val="0"/>
        <w:widowControl/>
        <w:spacing w:line="360" w:lineRule="exact" w:before="434" w:after="0"/>
        <w:ind w:left="0" w:right="2164" w:firstLine="0"/>
        <w:jc w:val="right"/>
      </w:pPr>
      <w:r>
        <w:t xml:space="preserve">江苏立霸实业股份有限公司 </w:t>
      </w:r>
    </w:p>
    <w:p>
      <w:pPr>
        <w:autoSpaceDN w:val="0"/>
        <w:autoSpaceDE w:val="0"/>
        <w:widowControl/>
        <w:spacing w:line="360" w:lineRule="exact" w:before="264" w:after="756"/>
        <w:ind w:left="1574" w:right="0" w:firstLine="0"/>
        <w:jc w:val="left"/>
      </w:pPr>
      <w:r>
        <w:t xml:space="preserve">2018 年第五次临时股东大会决议公告 </w:t>
      </w:r>
    </w:p>
    <w:tbl>
      <w:tblPr>
        <w:tblW w:type="auto" w:w="0"/>
        <w:tblLayout w:type="fixed"/>
        <w:tblLook w:firstColumn="1" w:firstRow="1" w:lastColumn="0" w:lastRow="0" w:noHBand="0" w:noVBand="1" w:val="04A0"/>
        <w:tblInd w:w="254.00000000000006" w:type="dxa"/>
      </w:tblPr>
      <w:tblGrid>
        <w:gridCol w:w="9026"/>
      </w:tblGrid>
      <w:tr>
        <w:trPr>
          <w:trHeight w:hRule="exact" w:val="1100"/>
        </w:trPr>
        <w:tc>
          <w:tcPr>
            <w:tcW w:type="dxa" w:w="8524"/>
            <w:tcBorders>
              <w:start w:sz="4.0" w:val="single" w:color="#000000"/>
              <w:top w:sz="4.0" w:val="single" w:color="#000000"/>
              <w:end w:sz="4.0" w:val="single" w:color="#000000"/>
              <w:bottom w:sz="4.0" w:val="single" w:color="#000000"/>
            </w:tcBorders>
            <w:tcMar>
              <w:start w:w="0" w:type="dxa"/>
              <w:end w:w="0" w:type="dxa"/>
            </w:tcMar>
          </w:tcPr>
          <w:p>
            <w:pPr>
              <w:autoSpaceDN w:val="0"/>
              <w:tabs>
                <w:tab w:pos="580" w:val="left"/>
              </w:tabs>
              <w:autoSpaceDE w:val="0"/>
              <w:widowControl/>
              <w:spacing w:line="448" w:lineRule="exact" w:before="0" w:after="0"/>
              <w:ind w:left="100" w:right="0" w:firstLine="0"/>
              <w:jc w:val="left"/>
            </w:pPr>
            <w:r>
              <w:tab/>
            </w:r>
            <w:r>
              <w:rPr>
                <w:rFonts w:ascii="ËÎÌå" w:hAnsi="ËÎÌå" w:eastAsia="ËÎÌå"/>
                <w:b w:val="0"/>
                <w:i w:val="0"/>
                <w:color w:val="000000"/>
                <w:sz w:val="24"/>
              </w:rPr>
              <w:t xml:space="preserve">本公司董事会及全体董事保证本公告内容不存在任何虚假记载、误导性陈 </w:t>
            </w:r>
            <w:r>
              <w:rPr>
                <w:rFonts w:ascii="ËÎÌå" w:hAnsi="ËÎÌå" w:eastAsia="ËÎÌå"/>
                <w:b w:val="0"/>
                <w:i w:val="0"/>
                <w:color w:val="000000"/>
                <w:sz w:val="24"/>
              </w:rPr>
              <w:t>述或者重大遗漏，并对其内容的真实性、准确性和完整性承担个别及连带责任。</w:t>
            </w:r>
          </w:p>
        </w:tc>
      </w:tr>
    </w:tbl>
    <w:p>
      <w:pPr>
        <w:autoSpaceDN w:val="0"/>
        <w:autoSpaceDE w:val="0"/>
        <w:widowControl/>
        <w:spacing w:line="240" w:lineRule="exact" w:before="580" w:after="0"/>
        <w:ind w:left="360" w:right="0" w:firstLine="0"/>
        <w:jc w:val="left"/>
      </w:pPr>
      <w:r>
        <w:t>重要内容提示：</w:t>
      </w:r>
    </w:p>
    <w:p>
      <w:pPr>
        <w:autoSpaceDN w:val="0"/>
        <w:autoSpaceDE w:val="0"/>
        <w:widowControl/>
        <w:spacing w:line="240" w:lineRule="exact" w:before="228" w:after="0"/>
        <w:ind w:left="360" w:right="0" w:firstLine="0"/>
        <w:jc w:val="left"/>
      </w:pPr>
      <w:r>
        <w:t xml:space="preserve">●本次会议是否有否决议案：无 </w:t>
      </w:r>
    </w:p>
    <w:p>
      <w:pPr>
        <w:ind w:left="360"/>
      </w:pPr>
      <w:r>
        <w:t>一、会议召开和出席情况</w:t>
      </w:r>
    </w:p>
    <w:p>
      <w:pPr>
        <w:ind w:left="360"/>
      </w:pPr>
      <w:r>
        <w:t>（一）股东大会召开的时间：2018 年 11 月 30 日</w:t>
      </w:r>
    </w:p>
    <w:p>
      <w:pPr>
        <w:ind w:left="360"/>
      </w:pPr>
      <w:r>
        <w:t>（二）股东大会召开的地点：宜兴市环保科技工业园画溪路 88 号公司会议室（三）出席会议的普通股股东和恢复表决权的优先股股东及其持有股份情况：</w:t>
      </w:r>
    </w:p>
    <w:tbl>
      <w:tblPr>
        <w:tblW w:type="auto" w:w="0"/>
        <w:tblLayout w:type="fixed"/>
        <w:tblLook w:firstColumn="1" w:firstRow="1" w:lastColumn="0" w:lastRow="0" w:noHBand="0" w:noVBand="1" w:val="04A0"/>
        <w:tblInd w:w="254.00000000000006" w:type="dxa"/>
      </w:tblPr>
      <w:tblGrid>
        <w:gridCol w:w="4513"/>
        <w:gridCol w:w="4513"/>
      </w:tblGrid>
      <w:tr>
        <w:trPr>
          <w:trHeight w:hRule="exact" w:val="480"/>
        </w:trPr>
        <w:tc>
          <w:tcPr>
            <w:tcW w:type="dxa" w:w="705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320" w:lineRule="exact" w:before="66" w:after="0"/>
              <w:ind w:left="100" w:right="0" w:firstLine="0"/>
              <w:jc w:val="left"/>
            </w:pPr>
            <w:r>
              <w:rPr>
                <w:rFonts w:ascii="Times New Roman" w:hAnsi="Times New Roman" w:eastAsia="Times New Roman"/>
                <w:b w:val="0"/>
                <w:i w:val="0"/>
                <w:color w:val="000000"/>
                <w:sz w:val="24"/>
              </w:rPr>
              <w:t>1</w:t>
            </w:r>
            <w:r>
              <w:rPr>
                <w:rFonts w:ascii="ËÎÌå" w:hAnsi="ËÎÌå" w:eastAsia="ËÎÌå"/>
                <w:b w:val="0"/>
                <w:i w:val="0"/>
                <w:color w:val="000000"/>
                <w:sz w:val="24"/>
              </w:rPr>
              <w:t>、出席会议的股东和代理人人数</w:t>
            </w:r>
          </w:p>
        </w:tc>
        <w:tc>
          <w:tcPr>
            <w:tcW w:type="dxa" w:w="141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320" w:lineRule="exact" w:before="64" w:after="0"/>
              <w:ind w:left="0" w:right="42" w:firstLine="0"/>
              <w:jc w:val="right"/>
            </w:pPr>
            <w:r>
              <w:rPr>
                <w:rFonts w:ascii="Times New Roman" w:hAnsi="Times New Roman" w:eastAsia="Times New Roman"/>
                <w:b w:val="0"/>
                <w:i w:val="0"/>
                <w:color w:val="000000"/>
                <w:sz w:val="24"/>
              </w:rPr>
              <w:t xml:space="preserve">2 </w:t>
            </w:r>
          </w:p>
        </w:tc>
      </w:tr>
      <w:tr>
        <w:trPr>
          <w:trHeight w:hRule="exact" w:val="476"/>
        </w:trPr>
        <w:tc>
          <w:tcPr>
            <w:tcW w:type="dxa" w:w="705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320" w:lineRule="exact" w:before="64" w:after="0"/>
              <w:ind w:left="100" w:right="0" w:firstLine="0"/>
              <w:jc w:val="left"/>
            </w:pPr>
            <w:r>
              <w:rPr>
                <w:rFonts w:ascii="Times New Roman" w:hAnsi="Times New Roman" w:eastAsia="Times New Roman"/>
                <w:b w:val="0"/>
                <w:i w:val="0"/>
                <w:color w:val="000000"/>
                <w:sz w:val="24"/>
              </w:rPr>
              <w:t>2</w:t>
            </w:r>
            <w:r>
              <w:rPr>
                <w:rFonts w:ascii="ËÎÌå" w:hAnsi="ËÎÌå" w:eastAsia="ËÎÌå"/>
                <w:b w:val="0"/>
                <w:i w:val="0"/>
                <w:color w:val="000000"/>
                <w:sz w:val="24"/>
              </w:rPr>
              <w:t>、出席会议的股东所持有表决权的股份总数（股）</w:t>
            </w:r>
          </w:p>
        </w:tc>
        <w:tc>
          <w:tcPr>
            <w:tcW w:type="dxa" w:w="141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320" w:lineRule="exact" w:before="62" w:after="0"/>
              <w:ind w:left="0" w:right="0" w:firstLine="0"/>
              <w:jc w:val="center"/>
            </w:pPr>
            <w:r>
              <w:rPr>
                <w:rFonts w:ascii="Times New Roman" w:hAnsi="Times New Roman" w:eastAsia="Times New Roman"/>
                <w:b w:val="0"/>
                <w:i w:val="0"/>
                <w:color w:val="000000"/>
                <w:sz w:val="24"/>
              </w:rPr>
              <w:t xml:space="preserve">104,583,640 </w:t>
            </w:r>
          </w:p>
        </w:tc>
      </w:tr>
      <w:tr>
        <w:trPr>
          <w:trHeight w:hRule="exact" w:val="946"/>
        </w:trPr>
        <w:tc>
          <w:tcPr>
            <w:tcW w:type="dxa" w:w="7054"/>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428" w:lineRule="exact" w:before="0" w:after="0"/>
              <w:ind w:left="100" w:right="0" w:firstLine="0"/>
              <w:jc w:val="left"/>
            </w:pPr>
            <w:r>
              <w:rPr>
                <w:rFonts w:ascii="Times New Roman" w:hAnsi="Times New Roman" w:eastAsia="Times New Roman"/>
                <w:b w:val="0"/>
                <w:i w:val="0"/>
                <w:color w:val="000000"/>
                <w:sz w:val="24"/>
              </w:rPr>
              <w:t>3</w:t>
            </w:r>
            <w:r>
              <w:rPr>
                <w:rFonts w:ascii="ËÎÌå" w:hAnsi="ËÎÌå" w:eastAsia="ËÎÌå"/>
                <w:b w:val="0"/>
                <w:i w:val="0"/>
                <w:color w:val="000000"/>
                <w:sz w:val="24"/>
              </w:rPr>
              <w:t xml:space="preserve">、出席会议的股东所持有表决权股份数占公司有表决权股份总数 </w:t>
            </w:r>
            <w:r>
              <w:rPr>
                <w:rFonts w:ascii="ËÎÌå" w:hAnsi="ËÎÌå" w:eastAsia="ËÎÌå"/>
                <w:b w:val="0"/>
                <w:i w:val="0"/>
                <w:color w:val="000000"/>
                <w:sz w:val="24"/>
              </w:rPr>
              <w:t>的比例（</w:t>
            </w:r>
            <w:r>
              <w:rPr>
                <w:rFonts w:ascii="Times New Roman" w:hAnsi="Times New Roman" w:eastAsia="Times New Roman"/>
                <w:b w:val="0"/>
                <w:i w:val="0"/>
                <w:color w:val="000000"/>
                <w:sz w:val="24"/>
              </w:rPr>
              <w:t>%</w:t>
            </w:r>
            <w:r>
              <w:rPr>
                <w:rFonts w:ascii="ËÎÌå" w:hAnsi="ËÎÌå" w:eastAsia="ËÎÌå"/>
                <w:b w:val="0"/>
                <w:i w:val="0"/>
                <w:color w:val="000000"/>
                <w:sz w:val="24"/>
              </w:rPr>
              <w:t>）</w:t>
            </w:r>
          </w:p>
        </w:tc>
        <w:tc>
          <w:tcPr>
            <w:tcW w:type="dxa" w:w="1414"/>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320" w:lineRule="exact" w:before="296" w:after="0"/>
              <w:ind w:left="0" w:right="42" w:firstLine="0"/>
              <w:jc w:val="right"/>
            </w:pPr>
            <w:r>
              <w:rPr>
                <w:rFonts w:ascii="Times New Roman" w:hAnsi="Times New Roman" w:eastAsia="Times New Roman"/>
                <w:b w:val="0"/>
                <w:i w:val="0"/>
                <w:color w:val="000000"/>
                <w:sz w:val="24"/>
              </w:rPr>
              <w:t xml:space="preserve">47.1225 </w:t>
            </w:r>
          </w:p>
        </w:tc>
      </w:tr>
    </w:tbl>
    <w:p>
      <w:pPr>
        <w:autoSpaceDN w:val="0"/>
        <w:autoSpaceDE w:val="0"/>
        <w:widowControl/>
        <w:spacing w:line="430" w:lineRule="exact" w:before="0" w:after="0"/>
        <w:ind w:left="360" w:right="144" w:firstLine="0"/>
        <w:jc w:val="left"/>
      </w:pPr>
      <w:r>
        <w:t>（四）表决方式是否符合《公司法》及《公司章程》的规定，大会主持情况等。本公司 2018 年第五次临时股东大会采用现场投票和网络投票相结合的表决方 式审议有关议案，会议由公司董事会召集，公司董事长卢凤仙女士主持，本次会</w:t>
      </w:r>
    </w:p>
    <w:p>
      <w:pPr>
        <w:autoSpaceDN w:val="0"/>
        <w:autoSpaceDE w:val="0"/>
        <w:widowControl/>
        <w:spacing w:line="240" w:lineRule="exact" w:before="228" w:after="0"/>
        <w:ind w:left="360" w:right="0" w:firstLine="0"/>
        <w:jc w:val="left"/>
      </w:pPr>
      <w:r>
        <w:t>议表决方式符合《公司法》及《公司章程》的规定。</w:t>
      </w:r>
    </w:p>
    <w:p>
      <w:pPr>
        <w:ind w:left="360"/>
      </w:pPr>
      <w:r>
        <w:t xml:space="preserve">（五）公司董事、监事和董事会秘书的出席情况 </w:t>
      </w:r>
    </w:p>
    <w:p>
      <w:pPr>
        <w:ind w:left="360"/>
      </w:pPr>
      <w:r>
        <w:t>1、公司在任董事 7 人，出席 6 人，公司独立董事苏中一先生因工作原因未能出 席本次会议；</w:t>
      </w:r>
    </w:p>
    <w:p>
      <w:pPr>
        <w:ind w:left="360"/>
      </w:pPr>
      <w:r>
        <w:t>2、公司在任监事 3 人，出席 2 人，公司职工代表监事徐月霞女士因身体原因未 能出席本次会议；</w:t>
      </w:r>
    </w:p>
    <w:p>
      <w:pPr>
        <w:ind w:left="360"/>
      </w:pPr>
      <w:r>
        <w:t>3、公司董事会秘书阮志东先生出席了本次会议，副总经理储一平先生、财务总</w:t>
      </w:r>
    </w:p>
    <w:p>
      <w:pPr>
        <w:sectPr>
          <w:pgSz w:w="11906" w:h="16838"/>
          <w:pgMar w:top="716" w:right="1440" w:bottom="768" w:left="1440" w:header="720" w:footer="720" w:gutter="0"/>
          <w:cols w:space="720" w:num="1" w:equalWidth="0">
            <w:col w:w="9026" w:space="0"/>
          </w:cols>
          <w:docGrid w:linePitch="360"/>
        </w:sectPr>
      </w:pPr>
      <w:r/>
    </w:p>
    <w:p>
      <w:pPr>
        <w:autoSpaceDN w:val="0"/>
        <w:autoSpaceDE w:val="0"/>
        <w:widowControl/>
        <w:spacing w:line="220" w:lineRule="exact" w:before="0" w:after="558"/>
        <w:ind w:left="0" w:right="0"/>
      </w:pPr>
      <w:r/>
    </w:p>
    <w:p>
      <w:pPr>
        <w:autoSpaceDN w:val="0"/>
        <w:autoSpaceDE w:val="0"/>
        <w:widowControl/>
        <w:spacing w:line="240" w:lineRule="exact" w:before="0" w:after="0"/>
        <w:ind w:left="1072" w:right="0" w:firstLine="0"/>
        <w:jc w:val="left"/>
      </w:pPr>
      <w:r>
        <w:t>监卢伟明先生列席了会议。</w:t>
      </w:r>
    </w:p>
    <w:p>
      <w:pPr>
        <w:ind w:left="712"/>
      </w:pPr>
      <w:r>
        <w:t>二、议案审议情况</w:t>
      </w:r>
    </w:p>
    <w:p>
      <w:pPr>
        <w:ind w:left="712"/>
      </w:pPr>
      <w:r>
        <w:t xml:space="preserve">（一）非累积投票议案 </w:t>
      </w:r>
    </w:p>
    <w:p>
      <w:pPr>
        <w:ind w:left="712"/>
      </w:pPr>
      <w:r>
        <w:t xml:space="preserve">1、议案名称：关于增加公司注册资本暨修订&lt;公司章程&gt;的议案 审议结果：通过 </w:t>
      </w:r>
    </w:p>
    <w:p>
      <w:pPr>
        <w:ind w:left="712"/>
      </w:pPr>
      <w:r>
        <w:t>表决情况：</w:t>
      </w:r>
    </w:p>
    <w:tbl>
      <w:tblPr>
        <w:tblW w:type="auto" w:w="0"/>
        <w:tblLayout w:type="fixed"/>
        <w:tblLook w:firstColumn="1" w:firstRow="1" w:lastColumn="0" w:lastRow="0" w:noHBand="0" w:noVBand="1" w:val="04A0"/>
        <w:tblInd w:w="4.000000000000057" w:type="dxa"/>
      </w:tblPr>
      <w:tblGrid>
        <w:gridCol w:w="1381"/>
        <w:gridCol w:w="1381"/>
        <w:gridCol w:w="1381"/>
        <w:gridCol w:w="1381"/>
        <w:gridCol w:w="1381"/>
        <w:gridCol w:w="1381"/>
        <w:gridCol w:w="1381"/>
      </w:tblGrid>
      <w:tr>
        <w:trPr>
          <w:trHeight w:hRule="exact" w:val="610"/>
        </w:trPr>
        <w:tc>
          <w:tcPr>
            <w:tcW w:type="dxa" w:w="1418"/>
            <w:vMerge w:val="restart"/>
            <w:tcBorders>
              <w:start w:sz="3.1999999999999886"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exact" w:before="580" w:after="0"/>
              <w:ind w:left="0" w:right="0" w:firstLine="0"/>
              <w:jc w:val="center"/>
            </w:pPr>
            <w:r>
              <w:rPr>
                <w:rFonts w:ascii="ËÎÌå" w:hAnsi="ËÎÌå" w:eastAsia="ËÎÌå"/>
                <w:b w:val="0"/>
                <w:i w:val="0"/>
                <w:color w:val="000000"/>
                <w:sz w:val="24"/>
              </w:rPr>
              <w:t>股东类型</w:t>
            </w:r>
          </w:p>
        </w:tc>
        <w:tc>
          <w:tcPr>
            <w:tcW w:type="dxa" w:w="2978"/>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exact" w:before="274" w:after="0"/>
              <w:ind w:left="0" w:right="0" w:firstLine="0"/>
              <w:jc w:val="center"/>
            </w:pPr>
            <w:r>
              <w:rPr>
                <w:rFonts w:ascii="ËÎÌå" w:hAnsi="ËÎÌå" w:eastAsia="ËÎÌå"/>
                <w:b w:val="0"/>
                <w:i w:val="0"/>
                <w:color w:val="000000"/>
                <w:sz w:val="24"/>
              </w:rPr>
              <w:t>同意</w:t>
            </w:r>
          </w:p>
        </w:tc>
        <w:tc>
          <w:tcPr>
            <w:tcW w:type="dxa" w:w="2624"/>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exact" w:before="274" w:after="0"/>
              <w:ind w:left="0" w:right="0" w:firstLine="0"/>
              <w:jc w:val="center"/>
            </w:pPr>
            <w:r>
              <w:rPr>
                <w:rFonts w:ascii="ËÎÌå" w:hAnsi="ËÎÌå" w:eastAsia="ËÎÌå"/>
                <w:b w:val="0"/>
                <w:i w:val="0"/>
                <w:color w:val="000000"/>
                <w:sz w:val="24"/>
              </w:rPr>
              <w:t>反对</w:t>
            </w:r>
          </w:p>
        </w:tc>
        <w:tc>
          <w:tcPr>
            <w:tcW w:type="dxa" w:w="2620"/>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exact" w:before="274" w:after="0"/>
              <w:ind w:left="0" w:right="0" w:firstLine="0"/>
              <w:jc w:val="center"/>
            </w:pPr>
            <w:r>
              <w:rPr>
                <w:rFonts w:ascii="ËÎÌå" w:hAnsi="ËÎÌå" w:eastAsia="ËÎÌå"/>
                <w:b w:val="0"/>
                <w:i w:val="0"/>
                <w:color w:val="000000"/>
                <w:sz w:val="24"/>
              </w:rPr>
              <w:t>弃权</w:t>
            </w:r>
          </w:p>
        </w:tc>
      </w:tr>
      <w:tr>
        <w:trPr>
          <w:trHeight w:hRule="exact" w:val="610"/>
        </w:trPr>
        <w:tc>
          <w:tcPr>
            <w:tcW w:type="dxa" w:w="1381"/>
            <w:vMerge/>
            <w:tcBorders>
              <w:start w:sz="3.1999999999999886" w:val="single" w:color="#000000"/>
              <w:top w:sz="4.0" w:val="single" w:color="#000000"/>
              <w:end w:sz="4.0" w:val="single" w:color="#000000"/>
              <w:bottom w:sz="4.0" w:val="single" w:color="#000000"/>
            </w:tcBorders>
          </w:tcPr>
          <w:p/>
        </w:tc>
        <w:tc>
          <w:tcPr>
            <w:tcW w:type="dxa" w:w="155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272" w:after="0"/>
              <w:ind w:left="0" w:right="0" w:firstLine="0"/>
              <w:jc w:val="center"/>
            </w:pPr>
            <w:r>
              <w:rPr>
                <w:rFonts w:ascii="ËÎÌå" w:hAnsi="ËÎÌå" w:eastAsia="ËÎÌå"/>
                <w:b w:val="0"/>
                <w:i w:val="0"/>
                <w:color w:val="000000"/>
                <w:sz w:val="24"/>
              </w:rPr>
              <w:t>票数</w:t>
            </w:r>
          </w:p>
        </w:tc>
        <w:tc>
          <w:tcPr>
            <w:tcW w:type="dxa" w:w="142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320" w:lineRule="exact" w:before="226" w:after="0"/>
              <w:ind w:left="0" w:right="0" w:firstLine="0"/>
              <w:jc w:val="center"/>
            </w:pPr>
            <w:r>
              <w:rPr>
                <w:rFonts w:ascii="ËÎÌå" w:hAnsi="ËÎÌå" w:eastAsia="ËÎÌå"/>
                <w:b w:val="0"/>
                <w:i w:val="0"/>
                <w:color w:val="000000"/>
                <w:sz w:val="24"/>
              </w:rPr>
              <w:t>比例（</w:t>
            </w:r>
            <w:r>
              <w:rPr>
                <w:rFonts w:ascii="Times New Roman" w:hAnsi="Times New Roman" w:eastAsia="Times New Roman"/>
                <w:b w:val="0"/>
                <w:i w:val="0"/>
                <w:color w:val="000000"/>
                <w:sz w:val="24"/>
              </w:rPr>
              <w:t>%</w:t>
            </w:r>
            <w:r>
              <w:rPr>
                <w:rFonts w:ascii="ËÎÌå" w:hAnsi="ËÎÌå" w:eastAsia="ËÎÌå"/>
                <w:b w:val="0"/>
                <w:i w:val="0"/>
                <w:color w:val="000000"/>
                <w:sz w:val="24"/>
              </w:rPr>
              <w:t>）</w:t>
            </w:r>
          </w:p>
        </w:tc>
        <w:tc>
          <w:tcPr>
            <w:tcW w:type="dxa" w:w="11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272" w:after="0"/>
              <w:ind w:left="0" w:right="0" w:firstLine="0"/>
              <w:jc w:val="center"/>
            </w:pPr>
            <w:r>
              <w:rPr>
                <w:rFonts w:ascii="ËÎÌå" w:hAnsi="ËÎÌå" w:eastAsia="ËÎÌå"/>
                <w:b w:val="0"/>
                <w:i w:val="0"/>
                <w:color w:val="000000"/>
                <w:sz w:val="24"/>
              </w:rPr>
              <w:t>票数</w:t>
            </w:r>
          </w:p>
        </w:tc>
        <w:tc>
          <w:tcPr>
            <w:tcW w:type="dxa" w:w="14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320" w:lineRule="exact" w:before="226" w:after="0"/>
              <w:ind w:left="0" w:right="0" w:firstLine="0"/>
              <w:jc w:val="center"/>
            </w:pPr>
            <w:r>
              <w:rPr>
                <w:rFonts w:ascii="ËÎÌå" w:hAnsi="ËÎÌå" w:eastAsia="ËÎÌå"/>
                <w:b w:val="0"/>
                <w:i w:val="0"/>
                <w:color w:val="000000"/>
                <w:sz w:val="24"/>
              </w:rPr>
              <w:t>比例（</w:t>
            </w:r>
            <w:r>
              <w:rPr>
                <w:rFonts w:ascii="Times New Roman" w:hAnsi="Times New Roman" w:eastAsia="Times New Roman"/>
                <w:b w:val="0"/>
                <w:i w:val="0"/>
                <w:color w:val="000000"/>
                <w:sz w:val="24"/>
              </w:rPr>
              <w:t>%</w:t>
            </w:r>
            <w:r>
              <w:rPr>
                <w:rFonts w:ascii="ËÎÌå" w:hAnsi="ËÎÌå" w:eastAsia="ËÎÌå"/>
                <w:b w:val="0"/>
                <w:i w:val="0"/>
                <w:color w:val="000000"/>
                <w:sz w:val="24"/>
              </w:rPr>
              <w:t>）</w:t>
            </w:r>
          </w:p>
        </w:tc>
        <w:tc>
          <w:tcPr>
            <w:tcW w:type="dxa" w:w="112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272" w:after="0"/>
              <w:ind w:left="0" w:right="0" w:firstLine="0"/>
              <w:jc w:val="center"/>
            </w:pPr>
            <w:r>
              <w:rPr>
                <w:rFonts w:ascii="ËÎÌå" w:hAnsi="ËÎÌå" w:eastAsia="ËÎÌå"/>
                <w:b w:val="0"/>
                <w:i w:val="0"/>
                <w:color w:val="000000"/>
                <w:sz w:val="24"/>
              </w:rPr>
              <w:t>票数</w:t>
            </w:r>
          </w:p>
        </w:tc>
        <w:tc>
          <w:tcPr>
            <w:tcW w:type="dxa" w:w="15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320" w:lineRule="exact" w:before="226" w:after="0"/>
              <w:ind w:left="0" w:right="0" w:firstLine="0"/>
              <w:jc w:val="center"/>
            </w:pPr>
            <w:r>
              <w:rPr>
                <w:rFonts w:ascii="ËÎÌå" w:hAnsi="ËÎÌå" w:eastAsia="ËÎÌå"/>
                <w:b w:val="0"/>
                <w:i w:val="0"/>
                <w:color w:val="000000"/>
                <w:sz w:val="24"/>
              </w:rPr>
              <w:t>比例（</w:t>
            </w:r>
            <w:r>
              <w:rPr>
                <w:rFonts w:ascii="Times New Roman" w:hAnsi="Times New Roman" w:eastAsia="Times New Roman"/>
                <w:b w:val="0"/>
                <w:i w:val="0"/>
                <w:color w:val="000000"/>
                <w:sz w:val="24"/>
              </w:rPr>
              <w:t>%</w:t>
            </w:r>
            <w:r>
              <w:rPr>
                <w:rFonts w:ascii="ËÎÌå" w:hAnsi="ËÎÌå" w:eastAsia="ËÎÌå"/>
                <w:b w:val="0"/>
                <w:i w:val="0"/>
                <w:color w:val="000000"/>
                <w:sz w:val="24"/>
              </w:rPr>
              <w:t>）</w:t>
            </w:r>
          </w:p>
        </w:tc>
      </w:tr>
      <w:tr>
        <w:trPr>
          <w:trHeight w:hRule="exact" w:val="610"/>
        </w:trPr>
        <w:tc>
          <w:tcPr>
            <w:tcW w:type="dxa" w:w="1418"/>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320" w:lineRule="exact" w:before="226" w:after="0"/>
              <w:ind w:left="0" w:right="0" w:firstLine="0"/>
              <w:jc w:val="center"/>
            </w:pPr>
            <w:r>
              <w:rPr>
                <w:rFonts w:ascii="Times New Roman" w:hAnsi="Times New Roman" w:eastAsia="Times New Roman"/>
                <w:b w:val="0"/>
                <w:i w:val="0"/>
                <w:color w:val="000000"/>
                <w:sz w:val="24"/>
              </w:rPr>
              <w:t>A</w:t>
            </w:r>
            <w:r>
              <w:rPr>
                <w:rFonts w:ascii="ËÎÌå" w:hAnsi="ËÎÌå" w:eastAsia="ËÎÌå"/>
                <w:b w:val="0"/>
                <w:i w:val="0"/>
                <w:color w:val="000000"/>
                <w:sz w:val="24"/>
              </w:rPr>
              <w:t xml:space="preserve"> 股</w:t>
            </w:r>
          </w:p>
        </w:tc>
        <w:tc>
          <w:tcPr>
            <w:tcW w:type="dxa" w:w="155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320" w:lineRule="exact" w:before="226" w:after="0"/>
              <w:ind w:left="0" w:right="0" w:firstLine="0"/>
              <w:jc w:val="center"/>
            </w:pPr>
            <w:r>
              <w:rPr>
                <w:rFonts w:ascii="Times New Roman" w:hAnsi="Times New Roman" w:eastAsia="Times New Roman"/>
                <w:b w:val="0"/>
                <w:i w:val="0"/>
                <w:color w:val="000000"/>
                <w:sz w:val="24"/>
              </w:rPr>
              <w:t xml:space="preserve">104,583,640 </w:t>
            </w:r>
          </w:p>
        </w:tc>
        <w:tc>
          <w:tcPr>
            <w:tcW w:type="dxa" w:w="142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320" w:lineRule="exact" w:before="226" w:after="0"/>
              <w:ind w:left="0" w:right="0" w:firstLine="0"/>
              <w:jc w:val="center"/>
            </w:pPr>
            <w:r>
              <w:rPr>
                <w:rFonts w:ascii="Times New Roman" w:hAnsi="Times New Roman" w:eastAsia="Times New Roman"/>
                <w:b w:val="0"/>
                <w:i w:val="0"/>
                <w:color w:val="000000"/>
                <w:sz w:val="24"/>
              </w:rPr>
              <w:t xml:space="preserve">100.00 </w:t>
            </w:r>
          </w:p>
        </w:tc>
        <w:tc>
          <w:tcPr>
            <w:tcW w:type="dxa" w:w="11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320" w:lineRule="exact" w:before="226" w:after="0"/>
              <w:ind w:left="0" w:right="0" w:firstLine="0"/>
              <w:jc w:val="center"/>
            </w:pPr>
            <w:r>
              <w:rPr>
                <w:rFonts w:ascii="Times New Roman" w:hAnsi="Times New Roman" w:eastAsia="Times New Roman"/>
                <w:b w:val="0"/>
                <w:i w:val="0"/>
                <w:color w:val="000000"/>
                <w:sz w:val="24"/>
              </w:rPr>
              <w:t xml:space="preserve">0 </w:t>
            </w:r>
          </w:p>
        </w:tc>
        <w:tc>
          <w:tcPr>
            <w:tcW w:type="dxa" w:w="14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320" w:lineRule="exact" w:before="226" w:after="0"/>
              <w:ind w:left="0" w:right="0" w:firstLine="0"/>
              <w:jc w:val="center"/>
            </w:pPr>
            <w:r>
              <w:rPr>
                <w:rFonts w:ascii="Times New Roman" w:hAnsi="Times New Roman" w:eastAsia="Times New Roman"/>
                <w:b w:val="0"/>
                <w:i w:val="0"/>
                <w:color w:val="000000"/>
                <w:sz w:val="24"/>
              </w:rPr>
              <w:t xml:space="preserve">0 </w:t>
            </w:r>
          </w:p>
        </w:tc>
        <w:tc>
          <w:tcPr>
            <w:tcW w:type="dxa" w:w="112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320" w:lineRule="exact" w:before="226" w:after="0"/>
              <w:ind w:left="0" w:right="0" w:firstLine="0"/>
              <w:jc w:val="center"/>
            </w:pPr>
            <w:r>
              <w:rPr>
                <w:rFonts w:ascii="Times New Roman" w:hAnsi="Times New Roman" w:eastAsia="Times New Roman"/>
                <w:b w:val="0"/>
                <w:i w:val="0"/>
                <w:color w:val="000000"/>
                <w:sz w:val="24"/>
              </w:rPr>
              <w:t xml:space="preserve">0 </w:t>
            </w:r>
          </w:p>
        </w:tc>
        <w:tc>
          <w:tcPr>
            <w:tcW w:type="dxa" w:w="15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320" w:lineRule="exact" w:before="226" w:after="0"/>
              <w:ind w:left="0" w:right="0" w:firstLine="0"/>
              <w:jc w:val="center"/>
            </w:pPr>
            <w:r>
              <w:rPr>
                <w:rFonts w:ascii="Times New Roman" w:hAnsi="Times New Roman" w:eastAsia="Times New Roman"/>
                <w:b w:val="0"/>
                <w:i w:val="0"/>
                <w:color w:val="000000"/>
                <w:sz w:val="24"/>
              </w:rPr>
              <w:t xml:space="preserve">0 </w:t>
            </w:r>
          </w:p>
        </w:tc>
      </w:tr>
    </w:tbl>
    <w:p>
      <w:pPr>
        <w:ind w:left="712"/>
      </w:pPr>
      <w:r>
        <w:t xml:space="preserve">（二）关于议案表决的有关情况说明 </w:t>
      </w:r>
    </w:p>
    <w:p>
      <w:pPr>
        <w:ind w:left="712"/>
      </w:pPr>
      <w:r>
        <w:t>1、议案 1 为特别决议事项，已经出席股东大会的股东及股东代理人所持有表决 权股份总数的 2/3 以上通过。</w:t>
      </w:r>
    </w:p>
    <w:p>
      <w:pPr>
        <w:ind w:left="712"/>
      </w:pPr>
      <w:r>
        <w:t xml:space="preserve">三、律师见证情况 </w:t>
      </w:r>
    </w:p>
    <w:p>
      <w:pPr>
        <w:ind w:left="712"/>
      </w:pPr>
      <w:r>
        <w:t xml:space="preserve">1、本次股东大会鉴证的律师事务所：上海市锦天城律师事务所 </w:t>
      </w:r>
    </w:p>
    <w:p>
      <w:pPr>
        <w:ind w:left="712"/>
      </w:pPr>
      <w:r>
        <w:t xml:space="preserve">律师：谢静、施学敬 </w:t>
      </w:r>
    </w:p>
    <w:p>
      <w:pPr>
        <w:ind w:left="712"/>
      </w:pPr>
      <w:r>
        <w:t>2、律师鉴证结论意见：</w:t>
      </w:r>
    </w:p>
    <w:p>
      <w:pPr>
        <w:ind w:left="712"/>
      </w:pPr>
      <w:r>
        <w:t xml:space="preserve">本所律师认为，公司 2018 年第五次临时股东大会的召集和召开程序、召集人资 格、出席会议人员资格、会议表决程序及表决结果均符合《公司法》、《上市公司 股东大会规则》等法律、法规、规章和其他规范性文件及《公司章程》的有关规 定，本次股东大会通过的决议合法有效。 </w:t>
      </w:r>
    </w:p>
    <w:p>
      <w:pPr>
        <w:ind w:left="712"/>
      </w:pPr>
      <w:r>
        <w:t xml:space="preserve">四、备查文件目录 </w:t>
      </w:r>
    </w:p>
    <w:p>
      <w:pPr>
        <w:ind w:left="712"/>
      </w:pPr>
      <w:r>
        <w:t>1、经与会董事和记录人签字确认并加盖董事会印章的股东大会决议；2、经鉴证的律师事务所主任签字并加盖公章的法律意见书。</w:t>
      </w:r>
    </w:p>
    <w:p>
      <w:pPr>
        <w:ind w:left="6056"/>
      </w:pPr>
      <w:r>
        <w:t>江苏立霸实业股份有限公司</w:t>
      </w:r>
    </w:p>
    <w:p>
      <w:pPr>
        <w:ind w:left="6056"/>
      </w:pPr>
      <w:r>
        <w:t xml:space="preserve"> 2018 年 12 月 1 日</w:t>
      </w:r>
    </w:p>
    <w:sectPr w:rsidR="00FC693F" w:rsidRPr="0006063C" w:rsidSect="00034616">
      <w:pgSz w:w="11906" w:h="16838"/>
      <w:pgMar w:top="776" w:right="1148" w:bottom="774" w:left="1088" w:header="720" w:footer="720" w:gutter="0"/>
      <w:cols w:space="720" w:num="1" w:equalWidth="0">
        <w:col w:w="9670" w:space="0"/>
        <w:col w:w="9026"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