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Image analysis and gradient quantification</w:t>
      </w:r>
    </w:p>
    <w:p>
      <w:pPr>
        <w:spacing w:line="276" w:lineRule="auto" w:after="160"/>
        <w:jc w:val="both"/>
      </w:pPr>
      <w:r>
        <w:t>Time-lapse fluorescence images of fluorophore-conjugated dextran were analyzed with a custom Python pipeline. The Nikon ND2 dataset contained 37 timepoints, 10 overlapping stage positions, 26 Z planes, and GFP and Cy5 channels. Images were 2304 × 2304 pixels with a calibrated pixel size of 0.32298 µm. The primary time-course analysis was performed at one-based Z=11 (ND2 index 10), selected after comparison of the gradients across Z. Experimental time was calculated as twice the zero-based acquisition index (0–72; units as defined in the acquisition protocol). Images were read plane-by-plane, and channel identities, pixel size, and stage coordinates were obtained from the ND2 metadata.</w:t>
      </w:r>
    </w:p>
    <w:p>
      <w:pPr>
        <w:spacing w:line="276" w:lineRule="auto" w:after="160"/>
        <w:jc w:val="both"/>
      </w:pPr>
      <w:r>
        <w:t>A constant background of 100 intensity units was subtracted from every image, and negative values were set to zero. Adjacent fields overlapped by 496–497 pixels (21.56% of the field width). Corresponding pixels were identified from the stage X and Y coordinates, including the approximately 17-pixel Y offset between neighboring fields. Background-level and detector-clipped pixels were excluded. For each valid overlap column, the median log intensity ratio between matching pixels was calculated across Y. These ratios were used to estimate a channel-specific camera-X illumination profile, I(u) = exp(β₁u + β₂u²), where u is the centered and scaled camera X coordinate. Coefficients were estimated by robust iteratively reweighted least squares, and each profile was normalized to a median of 1. For the Z11 analysis, all nine adjacent position pairs and all timepoints were pooled to obtain one fixed profile for each channel. Background-subtracted images were corrected as S_corr = S/I. No independent flat-field image was used.</w:t>
      </w:r>
    </w:p>
    <w:p>
      <w:pPr>
        <w:spacing w:line="276" w:lineRule="auto" w:after="160"/>
        <w:jc w:val="both"/>
      </w:pPr>
      <w:r>
        <w:t>Fluorescence was averaged along Y to obtain a one-dimensional profile for each field. Profiles were positioned on a common physical-X axis using the stage metadata and pixel calibration. Duplicate measurements in the overlaps were combined with complementary cosine weights that summed to 1, producing a continuous profile without double-counting. Corrected profiles were normalized separately for GFP and Cy5 by the maximum value observed across all 37 profiles of that channel. The same channel-specific normalization constant was applied to every timepoint; corrected TIFF images remained in background-subtracted intensity units.</w:t>
      </w:r>
    </w:p>
    <w:p>
      <w:pPr>
        <w:spacing w:line="276" w:lineRule="auto" w:after="160"/>
        <w:jc w:val="both"/>
      </w:pPr>
      <w:r>
        <w:t>Each normalized profile was fitted by robust bounded nonlinear least squares to y(x) = L + (R − L)/2 × [1 + tanh((x − x₀)/w)], where L and R are the left and right plateaus, x₀ is the transition midpoint, and w is the transition width. Profiles were reduced, when necessary, to at most 1,024 contiguous median bins before fitting, and a soft-L1 loss was used to reduce sensitivity to outliers. Gradient slope was defined as the derivative at the fitted midpoint, m = (R − L)/(2w), in normalized intensity per millimeter. Signed slopes described gradient direction, whereas absolute slopes described steepness. Fits were retained but flagged if optimization failed, a parameter reached its bound, the result was non-finite, or the fitted amplitude was below 0.05.</w:t>
      </w:r>
    </w:p>
    <w:p>
      <w:pPr>
        <w:spacing w:line="276" w:lineRule="auto" w:after="160"/>
        <w:jc w:val="both"/>
      </w:pPr>
      <w:r>
        <w:t>For the axial analysis, timepoints t002, t010, t014, t024, and t036 were analyzed across all 26 Z planes. A separate overlap-derived illumination model was estimated for each channel and Z plane. The linear and quadratic coefficients were quality-weighted according to sample count and residual error and smoothed across Z using a second-difference penalty of 10. Corrected fields were aligned in two dimensions from their stage coordinates, cropped to their shared physical-Y region, and cosine-feathered before profile extraction and tanh fitting. This analysis used separate channel-specific normalization constants calculated across the complete selected timepoint-by-Z dataset.</w:t>
      </w:r>
    </w:p>
    <w:p>
      <w:pPr>
        <w:spacing w:line="276" w:lineRule="auto" w:after="160"/>
        <w:jc w:val="both"/>
      </w:pPr>
      <w:r>
        <w:t xml:space="preserve">Quantitative results and quality-control metrics were exported as CSV and JSON files. PNG files were used only for visualization; quantitative measurements were calculated from TIFF data. The analysis was implemented in Python 3.12 using nd2, Dask, NumPy, SciPy, tifffile, Matplotlib, and Pillow. Source code, configuration files, and numerical tests are available at </w:t>
      </w:r>
      <w:hyperlink r:id="rId9">
        <w:r>
          <w:rPr>
            <w:color w:val="0563C1"/>
            <w:u w:val="single"/>
          </w:rPr>
          <w:t>https://github.com/shellyefraim41/GradientanalysisExp106</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hellyefraim41/GradientanalysisExp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analysis and gradient quantification</dc:title>
  <dc:subject>Paper-style methods for fluorescence-gradient analysis</dc:subject>
  <dc:creator>Shelly Efraim</dc:creator>
  <cp:keywords/>
  <dc:description>generated by python-docx</dc:description>
  <cp:lastModifiedBy/>
  <cp:revision>1</cp:revision>
  <dcterms:created xsi:type="dcterms:W3CDTF">2013-12-23T23:15:00Z</dcterms:created>
  <dcterms:modified xsi:type="dcterms:W3CDTF">2013-12-23T23:15:00Z</dcterms:modified>
  <cp:category/>
</cp:coreProperties>
</file>