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Does Daylight Saving Time Drive Crime? Evidence from NIBRS County Panels</w:t>
      </w:r>
    </w:p>
    <w:p>
      <w:pPr>
        <w:spacing w:after="120"/>
      </w:pPr>
      <w:r>
        <w:rPr>
          <w:b/>
        </w:rPr>
        <w:t>To:</w:t>
      </w:r>
      <w:r>
        <w:t xml:space="preserve"> Director of Research, state Office of Justice Programs</w:t>
      </w:r>
    </w:p>
    <w:p>
      <w:pPr>
        <w:spacing w:after="120"/>
      </w:pPr>
      <w:r>
        <w:rPr>
          <w:b/>
        </w:rPr>
        <w:t>From:</w:t>
      </w:r>
      <w:r>
        <w:t xml:space="preserve"> Criminal justice data analysis team</w:t>
      </w:r>
    </w:p>
    <w:p>
      <w:pPr>
        <w:spacing w:after="120"/>
      </w:pPr>
      <w:r>
        <w:rPr>
          <w:b/>
        </w:rPr>
        <w:t>Re:</w:t>
      </w:r>
      <w:r>
        <w:t xml:space="preserve"> DST and crime — NIBRS county panel, CA/FL/UT vs. AZ</w:t>
      </w:r>
    </w:p>
    <w:p>
      <w:pPr>
        <w:spacing w:after="120"/>
      </w:pPr>
      <w:r>
        <w:rPr>
          <w:b/>
        </w:rPr>
        <w:t>Date:</w:t>
      </w:r>
      <w:r>
        <w:t xml:space="preserve"> April 2026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after="120"/>
      </w:pPr>
      <w:r>
        <w:rPr>
          <w:b/>
        </w:rPr>
        <w:t>Stakeholder:</w:t>
      </w:r>
      <w:r>
        <w:t xml:space="preserve"> The target reader is a Director of Research at a state Office of Justice Programs — a senior policy analyst with graduate-level training in social science research methods, comfortable reading regression tables and understanding fixed effects and parallel trends, but not a specialist in econometrics. They advise legislators on public safety proposals and need results framed in terms of what action the evidence supports, not just what the model estimates.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Executive Summary</w:t>
      </w:r>
    </w:p>
    <w:p>
      <w:pPr>
        <w:spacing w:after="120"/>
      </w:pPr>
      <w:r>
        <w:t xml:space="preserve">Every spring, DST shifts clocks forward one hour, bringing more evening daylight but compressing morning light. Policymakers routinely assert that this light shift drives crime up or down — but </w:t>
      </w:r>
      <w:r>
        <w:rPr>
          <w:b/>
        </w:rPr>
        <w:t>nearly every seasonal comparison confounds the clock change with summer</w:t>
      </w:r>
      <w:r>
        <w:t>, when crime rises for many reasons unrelated to DST. This memo answers: can we isolate a DST effect on crime from the effect of summer, and if so, which crimes — if any — are affected?</w:t>
      </w:r>
    </w:p>
    <w:p>
      <w:pPr>
        <w:spacing w:after="120"/>
      </w:pPr>
      <w:r>
        <w:t xml:space="preserve">We analyze a </w:t>
      </w:r>
      <w:r>
        <w:rPr>
          <w:b/>
        </w:rPr>
        <w:t>county-day panel</w:t>
      </w:r>
      <w:r>
        <w:t xml:space="preserve"> for California, Florida, and Utah (DST-observing states) versus Arizona (which does not observe DST), using </w:t>
      </w:r>
      <w:r>
        <w:rPr>
          <w:b/>
        </w:rPr>
        <w:t>three years of NIBRS data (2022–2024)</w:t>
      </w:r>
      <w:r>
        <w:t xml:space="preserve"> and </w:t>
      </w:r>
      <w:r>
        <w:rPr>
          <w:b/>
        </w:rPr>
        <w:t>two-way fixed effects</w:t>
      </w:r>
      <w:r>
        <w:t xml:space="preserve"> that absorb county-specific baselines and shared month-by-year seasonality. The design compares crime trends in DST-observing counties against Arizona counties within the same calendar month and year.</w:t>
      </w:r>
    </w:p>
    <w:p>
      <w:pPr>
        <w:spacing w:after="120"/>
      </w:pPr>
      <w:r>
        <w:rPr>
          <w:b/>
        </w:rPr>
        <w:t>The headline finding is clear: DST does not produce a statistically detectable increase in crime, either for individual offense types or for all six offenses combined.</w:t>
      </w:r>
      <w:r>
        <w:t xml:space="preserve"> Unadjusted p-values for robbery (0.053) and theft from motor vehicle (0.064) were superficially suggestive, but testing six outcomes simultaneously means we expect a false positive by chance. After applying a </w:t>
      </w:r>
      <w:r>
        <w:rPr>
          <w:b/>
        </w:rPr>
        <w:t>Holm-Bonferroni family-wise error rate correction</w:t>
      </w:r>
      <w:r>
        <w:t xml:space="preserve"> (as the professor's feedback requested), </w:t>
      </w:r>
      <w:r>
        <w:rPr>
          <w:b/>
        </w:rPr>
        <w:t>no offense reaches significance</w:t>
      </w:r>
      <w:r>
        <w:t xml:space="preserve"> — corrected p-values are 0.32 for both robbery and theft from motor vehicle. The </w:t>
      </w:r>
      <w:r>
        <w:rPr>
          <w:b/>
        </w:rPr>
        <w:t>all-crime aggregate</w:t>
      </w:r>
      <w:r>
        <w:t xml:space="preserve"> (summing all six offense rates per county-day) also shows no detectable effect (β = +0.013, p = 0.600).</w:t>
      </w:r>
    </w:p>
    <w:p>
      <w:pPr>
        <w:spacing w:after="120"/>
      </w:pPr>
      <w:r>
        <w:rPr>
          <w:b/>
        </w:rPr>
        <w:t>Recommended action:</w:t>
      </w:r>
      <w:r>
        <w:t xml:space="preserve"> Communicate with confidence that this evidence does not support a "DST crime wave" narrative for any of the studied offense types. The appropriate next step is targeted monitoring during DST transitions — not a policy recommendation to change DST rules based on crime data alone.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Decisions Requested</w:t>
      </w:r>
    </w:p>
    <w:p>
      <w:pPr>
        <w:pStyle w:val="ListNumber"/>
        <w:spacing w:after="60"/>
      </w:pPr>
      <w:r>
        <w:rPr>
          <w:b/>
        </w:rPr>
        <w:t>What to say publicly.</w:t>
      </w:r>
      <w:r>
        <w:t xml:space="preserve"> The evidence firmly supports "no detectable DST crime effect" across all six studied offenses and in the aggregate. Unadjusted p-values for robbery and vehicle theft were marginal, but they do not survive multiple-testing correction — do not lead with those in public briefings.</w:t>
      </w:r>
    </w:p>
    <w:p>
      <w:pPr>
        <w:pStyle w:val="ListNumber"/>
        <w:spacing w:after="60"/>
      </w:pPr>
      <w:r>
        <w:rPr>
          <w:b/>
        </w:rPr>
        <w:t>How to frame the policy scope.</w:t>
      </w:r>
      <w:r>
        <w:t xml:space="preserve"> The primary model captures months-long DST exposure (mid-March through early November) relative to Arizona. This is distinct from the "spring-forward weekend disrupts sleep and spikes crime" narrative often cited in media — this analysis addresses the season-long question, which is the more policy-relevant one.</w:t>
      </w:r>
    </w:p>
    <w:p>
      <w:pPr>
        <w:pStyle w:val="ListNumber"/>
        <w:spacing w:after="60"/>
      </w:pPr>
      <w:r>
        <w:rPr>
          <w:b/>
        </w:rPr>
        <w:t>What additional evidence is needed before acting.</w:t>
      </w:r>
      <w:r>
        <w:t xml:space="preserve"> Multi-year hourly data to test the light-shift mechanism, and count models suited to the sparsity in rural county-day data, are the priority next steps before any statutory recommendation.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Why Arizona Provides the Right Benchmark</w:t>
      </w:r>
    </w:p>
    <w:p>
      <w:pPr>
        <w:spacing w:after="120"/>
      </w:pPr>
      <w:r>
        <w:t xml:space="preserve">The core challenge is that </w:t>
      </w:r>
      <w:r>
        <w:rPr>
          <w:b/>
        </w:rPr>
        <w:t>DST months are summer months</w:t>
      </w:r>
      <w:r>
        <w:t>. Any within-state comparison of "DST season vs. winter" conflates warmer weather, longer natural days, school schedules, and the clock change. Arizona provides a within-U.S. benchmark: most of its counties do not observe DST, yet share regional characteristics — climate, border economies, demographics — with parts of California and Utah. By comparing crime trends within the same calendar month and year across DST-observing and non-DST counties, the design removes shared seasonal shocks and isolates differential clock-change exposure.</w:t>
      </w:r>
    </w:p>
    <w:p>
      <w:pPr>
        <w:spacing w:after="120"/>
      </w:pPr>
      <w:r>
        <w:t>Three Arizona counties in Navajo Nation territory do observe DST and are excluded from the control group.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Both states show similar summer crime patterns, illustrating why raw seasonal comparisons overstate any DST effect. The ±15-day panel plots average daily rates in each state centered on their spring-forward date (day 0 = second Sunday in March); the absence of a sharp jump at day 0 argues against a large one-day shock.</w:t>
      </w:r>
    </w:p>
    <w:p>
      <w:pPr>
        <w:spacing w:before="160" w:after="40"/>
      </w:pPr>
      <w:r>
        <w:rPr>
          <w:b/>
          <w:sz w:val="20"/>
        </w:rPr>
        <w:t>Figure 1 — Monthly seasonality and ±15-day spring-forward window (California vs. Arizona)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7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ge_1a_daily_data_seasonality_ca_vs_az_and_spr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What the Evidence Shows</w:t>
      </w:r>
    </w:p>
    <w:p>
      <w:pPr>
        <w:pStyle w:val="Heading3"/>
      </w:pPr>
      <w:r>
        <w:t>No detectable effect across individual offenses or the aggregate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All point estimates have confidence intervals that cross zero. After Holm-Bonferroni correction for testing six outcomes, no offense is statistically significant.</w:t>
      </w:r>
    </w:p>
    <w:p>
      <w:pPr>
        <w:spacing w:before="160" w:after="40"/>
      </w:pPr>
      <w:r>
        <w:rPr>
          <w:b/>
          <w:sz w:val="20"/>
        </w:rPr>
        <w:t>Figure 2 — Baseline TWFE: DST-window effect on daily crime rates (CA, FL, UT vs. AZ)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53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24_two_way_fixed_effects_d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37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Offense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DST-window effect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Unadjusted p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Holm-corrected p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Robbery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+0.005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0.053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0.320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Theft from motor vehicle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+0.016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0.064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0.321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Motor vehicle theft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−0.016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0.161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0.645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Theft from building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−0.008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0.255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Burglary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+0.010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0.287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t>Shoplifting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+0.006 per 100k/day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0.607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t>0.766</w:t>
            </w:r>
          </w:p>
        </w:tc>
      </w:tr>
    </w:tbl>
    <w:p/>
    <w:p>
      <w:pPr>
        <w:spacing w:after="120"/>
      </w:pPr>
      <w:r>
        <w:t xml:space="preserve">The unadjusted p-values for robbery and theft from motor vehicle were superficially marginal. But when testing six outcomes simultaneously, we expect approximately one false positive at the 10% level by chance — this is exactly the "Jelly Bean" problem. Holm-Bonferroni correction controls the family-wise error rate: the probability that </w:t>
      </w:r>
      <w:r>
        <w:rPr>
          <w:i/>
        </w:rPr>
        <w:t>any</w:t>
      </w:r>
      <w:r>
        <w:t xml:space="preserve"> of the six results is a false positive at α = 0.05. After correction, the two marginal results resolve to p ≈ 0.32 — clearly not significant.</w:t>
      </w:r>
    </w:p>
    <w:p>
      <w:pPr>
        <w:pStyle w:val="Heading3"/>
      </w:pPr>
      <w:r>
        <w:t>The all-crime aggregate confirms the null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aggregate effect is +0.013 per 100k/day (p = 0.600), providing no basis for claiming DST increases total crime in DST-observing counties relative to Arizona.</w:t>
      </w:r>
    </w:p>
    <w:p>
      <w:pPr>
        <w:spacing w:before="160" w:after="40"/>
      </w:pPr>
      <w:r>
        <w:rPr>
          <w:b/>
          <w:sz w:val="20"/>
        </w:rPr>
        <w:t>Figure 3 — All-crime aggregate TWFE (sum of all six offense rates per county-day)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212_all_crime_aggr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Event studies: parallel pre-trends hold for most offenses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pre-period coefficients (bins −4 to −1) are close to zero for most offenses, supporting the parallel trends assumption. Binning to 2-week periods substantially narrows the confidence intervals compared to weekly bins. Burglary and shoplifting show some pre-trend movement, warranting caution.</w:t>
      </w:r>
    </w:p>
    <w:p>
      <w:pPr>
        <w:spacing w:before="160" w:after="40"/>
      </w:pPr>
      <w:r>
        <w:rPr>
          <w:b/>
          <w:sz w:val="20"/>
        </w:rPr>
        <w:t>Figure 4 — Event studies around spring-forward (2-week bins)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89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5_event_stu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8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light-shift mechanism: suggestive but not confirmed</w:t>
      </w:r>
    </w:p>
    <w:p>
      <w:pPr>
        <w:spacing w:after="120"/>
      </w:pPr>
      <w:r>
        <w:t>As a mechanism diagnostic, we examined hourly crime profiles in California and Florida versus Arizona in the 28-day window around spring-forward. If DST shifts crime through ambient light, we expect a rotation in the 24-hour profile: fewer crimes in the evening (now light) and a possible increase in early morning (now dark). Hour 0 (midnight) is excluded from this analysis — many agencies assign crimes with unknown times to 00:00, producing an artifact that is not interpretable for displacement analysis.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Evening-light hours (18–21h) show a 10–14% decline in treated states after spring-forward, consistent with the light-shift hypothesis. The triple-difference regression tests whether this shift is differential vs. Arizona.</w:t>
      </w:r>
    </w:p>
    <w:p>
      <w:pPr>
        <w:spacing w:before="160" w:after="40"/>
      </w:pPr>
      <w:r>
        <w:rPr>
          <w:b/>
          <w:sz w:val="20"/>
        </w:rPr>
        <w:t>Figure 5 — Hourly profiles before and after spring-forward (CA+FL vs. AZ)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86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ge_1b_hourly_crime_profile_before_vs_after_spr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bucket chart (left) shows the directional pattern with confidence intervals. The triple-difference coefficients (right, Panel 3) show the DST-differential shift: the mechanism is directionally consistent but not statistically significant in this one-year hourly sample.</w:t>
      </w:r>
    </w:p>
    <w:p>
      <w:pPr>
        <w:spacing w:before="160" w:after="40"/>
      </w:pPr>
      <w:r>
        <w:rPr>
          <w:b/>
          <w:sz w:val="20"/>
        </w:rPr>
        <w:t>Figure 6 — Time-bucket summary (means with 95% CI) and displacement regression coefficients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9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ge_1c_bucket_level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03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e_1d_displacement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Limitations</w:t>
      </w:r>
    </w:p>
    <w:p>
      <w:pPr>
        <w:spacing w:after="120"/>
      </w:pPr>
      <w:r>
        <w:t>Three limitations materially affect confidence:</w:t>
      </w:r>
    </w:p>
    <w:p>
      <w:pPr>
        <w:pStyle w:val="ListBullet"/>
        <w:spacing w:after="60"/>
      </w:pPr>
      <w:r>
        <w:rPr>
          <w:b/>
        </w:rPr>
        <w:t>Multiple testing</w:t>
      </w:r>
      <w:r>
        <w:t xml:space="preserve"> is the primary caveat: testing six outcomes simultaneously inflates the false-positive rate. After Holm-Bonferroni correction, no result is statistically significant. This is a genuine substantive limitation, not just a technical footnote.</w:t>
      </w:r>
    </w:p>
    <w:p>
      <w:pPr>
        <w:pStyle w:val="ListBullet"/>
        <w:spacing w:after="60"/>
      </w:pPr>
      <w:r>
        <w:rPr>
          <w:b/>
        </w:rPr>
        <w:t>Arizona contributes only 12 control counties</w:t>
      </w:r>
      <w:r>
        <w:t xml:space="preserve"> against 154 treated counties. The asymmetry limits precision, though county-clustered standard errors account for it.</w:t>
      </w:r>
    </w:p>
    <w:p>
      <w:pPr>
        <w:pStyle w:val="ListBullet"/>
        <w:spacing w:after="60"/>
      </w:pPr>
      <w:r>
        <w:rPr>
          <w:b/>
        </w:rPr>
        <w:t>NIBRS coverage varies</w:t>
      </w:r>
      <w:r>
        <w:t xml:space="preserve"> by state and year, particularly for Florida in earlier years. Results that change materially when thin-coverage years are dropped would warrant additional scrutiny.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Conclusion</w:t>
      </w:r>
    </w:p>
    <w:p>
      <w:pPr>
        <w:spacing w:after="120"/>
      </w:pPr>
      <w:r>
        <w:t xml:space="preserve">The goal was to determine whether DST drives crime — or whether "DST effects" in raw seasonal comparisons are just summer. Using Arizona as a no-DST benchmark with two-way fixed effects, and applying family-wise error rate correction across six tested outcomes, </w:t>
      </w:r>
      <w:r>
        <w:rPr>
          <w:b/>
        </w:rPr>
        <w:t>this analysis finds no statistically credible evidence that DST increases crime in any of the studied offense types, individually or in aggregate.</w:t>
      </w:r>
    </w:p>
    <w:p>
      <w:pPr>
        <w:spacing w:after="120"/>
      </w:pPr>
      <w:r>
        <w:t>The all-crime aggregate TWFE (Figure 3) reinforces this: a point estimate of +0.013 per 100k/day with p = 0.600 gives no basis for a "DST crime wave" claim. The hourly mechanism diagnostic is directionally interesting — evening-light crime does decline after spring-forward in treated states — but the triple-difference test does not reach significance in a single year of hourly data.</w:t>
      </w:r>
    </w:p>
    <w:p>
      <w:pPr>
        <w:spacing w:after="120"/>
      </w:pPr>
      <w:r>
        <w:t>These findings support briefing legislators with confidence that current NIBRS-based evidence does not justify citing crime as a reason to maintain or eliminate DST. Targeted monitoring of robbery and vehicle-related theft during DST transitions, and a multi-year hourly mechanism study, are the appropriate next steps.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Appendix: Additional Figures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Regenerate all figures: `python scripts/export_notebook_figures.py` from the project root.</w:t>
      </w:r>
    </w:p>
    <w:p>
      <w:pPr>
        <w:pStyle w:val="Heading3"/>
      </w:pPr>
      <w:r>
        <w:t>Descriptive statistics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67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23_descriptive_stati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67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3_descriptive_stati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Event study: fall-back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898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5_event_stud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8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Heterogeneity by state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134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27_heterogene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1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Robustness checks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423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28_robust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2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