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Memo: Does Daylight Saving Time Drive Crime? Evidence from NIBRS County Panels</w:t>
      </w:r>
    </w:p>
    <w:p>
      <w:pPr>
        <w:spacing w:after="120"/>
      </w:pPr>
      <w:r>
        <w:rPr>
          <w:b/>
        </w:rPr>
        <w:t>To:</w:t>
      </w:r>
      <w:r>
        <w:t xml:space="preserve"> Director of Research, state Office of Justice Programs</w:t>
      </w:r>
    </w:p>
    <w:p>
      <w:pPr>
        <w:spacing w:after="120"/>
      </w:pPr>
      <w:r>
        <w:rPr>
          <w:b/>
        </w:rPr>
        <w:t>From:</w:t>
      </w:r>
      <w:r>
        <w:t xml:space="preserve"> Criminal justice data analysis team</w:t>
      </w:r>
    </w:p>
    <w:p>
      <w:pPr>
        <w:spacing w:after="120"/>
      </w:pPr>
      <w:r>
        <w:rPr>
          <w:b/>
        </w:rPr>
        <w:t>Re:</w:t>
      </w:r>
      <w:r>
        <w:t xml:space="preserve"> DST and crime — NIBRS county panel, CA/FL/UT vs. AZ</w:t>
      </w:r>
    </w:p>
    <w:p>
      <w:pPr>
        <w:spacing w:after="120"/>
      </w:pPr>
      <w:r>
        <w:rPr>
          <w:b/>
        </w:rPr>
        <w:t>Date:</w:t>
      </w:r>
      <w:r>
        <w:t xml:space="preserve"> April 2026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after="120"/>
      </w:pPr>
      <w:r>
        <w:rPr>
          <w:b/>
        </w:rPr>
        <w:t>Stakeholder:</w:t>
      </w:r>
      <w:r>
        <w:t xml:space="preserve"> The target reader is a Director of Research at a state Office of Justice Programs — a senior policy analyst with graduate-level training in social science research methods, comfortable reading regression tables and understanding concepts like fixed effects and parallel trends, but not a specialist in econometrics. They advise legislators on public safety proposals and need results framed in terms of what action the evidence supports, not just what the model estimates.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Executive Summary</w:t>
      </w:r>
    </w:p>
    <w:p>
      <w:pPr>
        <w:spacing w:after="120"/>
      </w:pPr>
      <w:r>
        <w:t xml:space="preserve">Every spring, clocks spring forward one hour, and the perennial debate follows: does Daylight Saving Time increase crime? The intuition is that shifting ambient light changes when people are outside and vulnerable. The problem is that </w:t>
      </w:r>
      <w:r>
        <w:rPr>
          <w:b/>
        </w:rPr>
        <w:t>DST months are summer months</w:t>
      </w:r>
      <w:r>
        <w:t xml:space="preserve"> — crime rises in summer for many reasons unrelated to the clock, and nearly every published seasonal comparison confounds the two. This memo addresses a specific, answerable version of the question: relative to Arizona — a state that does not observe DST — do California, Florida, and Utah show higher crime during the DST window after controlling for shared seasonal patterns?</w:t>
      </w:r>
    </w:p>
    <w:p>
      <w:pPr>
        <w:spacing w:after="120"/>
      </w:pPr>
      <w:r>
        <w:t xml:space="preserve">We analyze a </w:t>
      </w:r>
      <w:r>
        <w:rPr>
          <w:b/>
        </w:rPr>
        <w:t>county-day panel</w:t>
      </w:r>
      <w:r>
        <w:t xml:space="preserve"> for those four states using </w:t>
      </w:r>
      <w:r>
        <w:rPr>
          <w:b/>
        </w:rPr>
        <w:t>three years of NIBRS data (2022–2024)</w:t>
      </w:r>
      <w:r>
        <w:t xml:space="preserve"> and </w:t>
      </w:r>
      <w:r>
        <w:rPr>
          <w:b/>
        </w:rPr>
        <w:t>two-way fixed effects</w:t>
      </w:r>
      <w:r>
        <w:t xml:space="preserve"> with county and year-month fixed effects. We test six offense types and apply a </w:t>
      </w:r>
      <w:r>
        <w:rPr>
          <w:b/>
        </w:rPr>
        <w:t>Holm-Bonferroni family-wise error rate correction</w:t>
      </w:r>
      <w:r>
        <w:t xml:space="preserve"> to account for testing multiple outcomes simultaneously.</w:t>
      </w:r>
    </w:p>
    <w:p>
      <w:pPr>
        <w:spacing w:after="120"/>
      </w:pPr>
      <w:r>
        <w:rPr>
          <w:b/>
        </w:rPr>
        <w:t>The headline finding is null: no offense type shows a statistically credible association with the DST window after correcting for multiple testing.</w:t>
      </w:r>
      <w:r>
        <w:t xml:space="preserve"> Unadjusted p-values for robbery (0.053) and theft from motor vehicle (0.064) were marginal, but after Holm-Bonferroni correction both rise to ~0.32. The all-crime aggregate is also null (β = +0.013, p = 0.600). There is one credible signal worth flagging for follow-up: </w:t>
      </w:r>
      <w:r>
        <w:rPr>
          <w:b/>
        </w:rPr>
        <w:t>theft from motor vehicle in California and Utah individually</w:t>
      </w:r>
      <w:r>
        <w:t xml:space="preserve"> shows significant associations (CA p = 0.003, UT p = 0.004) that do not arise in Florida. This state-level heterogeneity is specific and consistent, but does not establish causality.</w:t>
      </w:r>
    </w:p>
    <w:p>
      <w:pPr>
        <w:spacing w:after="120"/>
      </w:pPr>
      <w:r>
        <w:rPr>
          <w:b/>
        </w:rPr>
        <w:t>Recommended action:</w:t>
      </w:r>
      <w:r>
        <w:t xml:space="preserve"> Do not cite this evidence in support of or against DST policy changes. The correct message is that current data provide no reliable basis for a DST-crime claim in aggregate. The CA/UT theft-from-motor-vehicle finding is worth commissioning a targeted follow-up study before drawing any policy conclusions.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Decisions Requested</w:t>
      </w:r>
    </w:p>
    <w:p>
      <w:pPr>
        <w:pStyle w:val="ListNumber"/>
        <w:spacing w:after="60"/>
      </w:pPr>
      <w:r>
        <w:rPr>
          <w:b/>
        </w:rPr>
        <w:t>Messaging.</w:t>
      </w:r>
      <w:r>
        <w:t xml:space="preserve"> The evidence supports confidently stating there is no demonstrated DST crime effect overall. Do not use the unadjusted marginal p-values for robbery or theft from motor vehicle in public briefings — they do not survive multiple-testing correction.</w:t>
      </w:r>
    </w:p>
    <w:p>
      <w:pPr>
        <w:pStyle w:val="ListNumber"/>
        <w:spacing w:after="60"/>
      </w:pPr>
      <w:r>
        <w:rPr>
          <w:b/>
        </w:rPr>
        <w:t>The CA/UT theft-from-MV finding.</w:t>
      </w:r>
      <w:r>
        <w:t xml:space="preserve"> This is the one result that holds up to scrutiny at the state level. A decision is needed on whether to commission a targeted follow-up (multi-year hourly analysis for those two states) before this gets cited in any policy context.</w:t>
      </w:r>
    </w:p>
    <w:p>
      <w:pPr>
        <w:pStyle w:val="ListNumber"/>
        <w:spacing w:after="60"/>
      </w:pPr>
      <w:r>
        <w:rPr>
          <w:b/>
        </w:rPr>
        <w:t>Scope of claims.</w:t>
      </w:r>
      <w:r>
        <w:t xml:space="preserve"> This analysis captures months-long DST-window exposure versus Arizona — not just the spring-forward weekend. Any legislative briefing should be explicit about that distinction: "DST season crime is no higher than in a non-DST comparison state" is the defensible claim, not "the spring-forward weekend has no effect."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Why Arizona and Why Fixed Effects</w:t>
      </w:r>
    </w:p>
    <w:p>
      <w:pPr>
        <w:spacing w:after="120"/>
      </w:pPr>
      <w:r>
        <w:t xml:space="preserve">The fundamental challenge is separating the clock from the calendar. </w:t>
      </w:r>
      <w:r>
        <w:rPr>
          <w:b/>
        </w:rPr>
        <w:t>Figure 1</w:t>
      </w:r>
      <w:r>
        <w:t xml:space="preserve"> illustrates the problem: both California and Arizona show similar summer crime rises, even though Arizona does not observe DST. A simple "DST months vs. winter" comparison in California would appear to show a DST effect — but Arizona, with no clock change, shows the same seasonal pattern. This means the summer rise is driven by season, not the clock.</w:t>
      </w:r>
    </w:p>
    <w:p>
      <w:pPr>
        <w:spacing w:after="120"/>
      </w:pPr>
      <w:r>
        <w:t>Arizona provides a rare within-U.S. benchmark: most of its counties do not observe DST, while sharing regional characteristics with parts of California and Utah. By absorbing county fixed effects (each county's average crime level) and year-month fixed effects (national or regional seasonal shocks shared across all states in a given month), the two-way fixed-effects design isolates differential exposure to the DST window specifically. Three Arizona counties in Navajo Nation territory do observe DST and are excluded from the control group.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Both states show a similar summer crime rise, demonstrating why raw seasonal comparisons overstate any DST effect. The ±15-day panel shows average daily rates centered on each year's spring-forward date (day 0); no sharp jump at day 0 argues against a large one-day clock-change shock.</w:t>
      </w:r>
    </w:p>
    <w:p>
      <w:pPr>
        <w:spacing w:before="160" w:after="40"/>
      </w:pPr>
      <w:r>
        <w:rPr>
          <w:b/>
          <w:sz w:val="20"/>
        </w:rPr>
        <w:t>Figure 1 — Monthly seasonality and ±15-day spring-forward window (CA vs. AZ)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07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ge_1a_daily_data_seasonality_ca_vs_az_and_spr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What the Evidence Shows</w:t>
      </w:r>
    </w:p>
    <w:p>
      <w:pPr>
        <w:pStyle w:val="Heading3"/>
      </w:pPr>
      <w:r>
        <w:t>Pooled TWFE: null across all offense types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All confidence intervals cross zero. After Holm-Bonferroni correction for testing six outcomes, no offense reaches significance.</w:t>
      </w:r>
    </w:p>
    <w:p>
      <w:pPr>
        <w:spacing w:before="160" w:after="40"/>
      </w:pPr>
      <w:r>
        <w:rPr>
          <w:b/>
          <w:sz w:val="20"/>
        </w:rPr>
        <w:t>Figure 2 — Baseline TWFE: DST-window effect on daily crime rates (CA, FL, UT vs. AZ)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53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24_two_way_fixed_effects_d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37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Offense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Estimated effect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Unadjusted p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Holm-corrected p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Robbery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+0.005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0.053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0.320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Theft from motor vehicle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+0.016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0.064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0.321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Motor vehicle theft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−0.016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0.161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0.645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Theft from building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−0.008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0.255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0.766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Burglary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+0.010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0.287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0.766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Shoplifting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+0.006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0.607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0.766</w:t>
            </w:r>
          </w:p>
        </w:tc>
      </w:tr>
    </w:tbl>
    <w:p/>
    <w:p>
      <w:pPr>
        <w:spacing w:after="120"/>
      </w:pPr>
      <w:r>
        <w:t xml:space="preserve">With six outcomes tested simultaneously, a false positive at the 10% level is expected roughly once by chance alone. Holm-Bonferroni controls the family-wise error rate — the probability that </w:t>
      </w:r>
      <w:r>
        <w:rPr>
          <w:i/>
        </w:rPr>
        <w:t>any</w:t>
      </w:r>
      <w:r>
        <w:t xml:space="preserve"> result is a false positive. After correction, the two marginal estimates resolve to p ≈ 0.32, well above any conventional threshold.</w:t>
      </w:r>
    </w:p>
    <w:p>
      <w:pPr>
        <w:pStyle w:val="Heading3"/>
      </w:pPr>
      <w:r>
        <w:t>All-crime aggregate confirms the null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The aggregate effect is β = +0.013 per 100k/day (p = 0.600). Both the trend lines and the single point estimate confirm no detectable DST-window shift in total crime.</w:t>
      </w:r>
    </w:p>
    <w:p>
      <w:pPr>
        <w:spacing w:before="160" w:after="40"/>
      </w:pPr>
      <w:r>
        <w:rPr>
          <w:b/>
          <w:sz w:val="20"/>
        </w:rPr>
        <w:t>Figure 3 — All-crime aggregate TWFE (sum of all six offense rates per county-day)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212_all_crime_aggre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one credible signal: theft from motor vehicle in CA and UT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CA vs AZ: β = +0.039, p = 0.003. UT vs AZ: β = +0.045, p = 0.004. Florida does not show the same pattern (p = 0.209). The two states with the tightest geographic match to Arizona — Utah, which borders it directly, and California — independently produce the same finding.</w:t>
      </w:r>
    </w:p>
    <w:p>
      <w:pPr>
        <w:spacing w:before="160" w:after="40"/>
      </w:pPr>
      <w:r>
        <w:rPr>
          <w:b/>
          <w:sz w:val="20"/>
        </w:rPr>
        <w:t>Figure 4 — Heterogeneity by state (theft from motor vehicle)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13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27_heterogene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1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This state-level pattern is specific, directionally consistent across two independent comparisons, and at p-values that are strong even before correction. It does not automatically survive a full FWER correction across all outcomes and states simultaneously, and it does not establish that DST </w:t>
      </w:r>
      <w:r>
        <w:rPr>
          <w:i/>
        </w:rPr>
        <w:t>causes</w:t>
      </w:r>
      <w:r>
        <w:t xml:space="preserve"> higher vehicle theft — pre-existing state-level trends cannot be fully excluded. But it is the most credible individual finding in the analysis and the appropriate focus of any follow-up work.</w:t>
      </w:r>
    </w:p>
    <w:p>
      <w:pPr>
        <w:pStyle w:val="Heading3"/>
      </w:pPr>
      <w:r>
        <w:t>Parallel trends hold for most offenses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Coefficients in the pre-period (bins −4 to −1) are close to zero for robbery, theft from motor vehicle, and motor vehicle theft — supporting parallel trends for those offenses. Burglary, shoplifting, and theft from building show borderline pre-trend violations; causal claims for those three offenses are not warranted here.</w:t>
      </w:r>
    </w:p>
    <w:p>
      <w:pPr>
        <w:spacing w:before="160" w:after="40"/>
      </w:pPr>
      <w:r>
        <w:rPr>
          <w:b/>
          <w:sz w:val="20"/>
        </w:rPr>
        <w:t>Figure 5 — Event studies around spring-forward (2-week bins)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898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25_event_stud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8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light-shift mechanism: not confirmed</w:t>
      </w:r>
    </w:p>
    <w:p>
      <w:pPr>
        <w:spacing w:after="120"/>
      </w:pPr>
      <w:r>
        <w:t>As a diagnostic, we examined hourly crime profiles around spring-forward in California and Florida versus Arizona. If DST shifts crime through ambient light, the 24-hour profile should rotate: fewer crimes in the newly-lit evening hours, more in the newly-dark morning hours. The raw treated-state profile shows a 10–14% evening decline at hours 18–19 after spring-forward. However, Arizona shows a similar 7% evening decline over the same window despite no clock change — suggesting seasonality, not the clock, is driving the pattern.</w:t>
      </w:r>
    </w:p>
    <w:p>
      <w:pPr>
        <w:spacing w:after="120"/>
      </w:pPr>
      <w:r>
        <w:t xml:space="preserve">The triple-difference regression — which tests whether the within-day shift in treated states is </w:t>
      </w:r>
      <w:r>
        <w:rPr>
          <w:i/>
        </w:rPr>
        <w:t>differential</w:t>
      </w:r>
      <w:r>
        <w:t xml:space="preserve"> vs. Arizona — is </w:t>
      </w:r>
      <w:r>
        <w:rPr>
          <w:b/>
        </w:rPr>
        <w:t>not statistically significant</w:t>
      </w:r>
      <w:r>
        <w:t xml:space="preserve"> (evening p = 0.74; morning p = 0.75). The morning coefficient is also negative, the opposite of what displacement predicts. </w:t>
      </w:r>
      <w:r>
        <w:rPr>
          <w:b/>
        </w:rPr>
        <w:t>The light-shift mechanism is not confirmed in this one-year hourly sample.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Left: raw hourly profiles. Center: time-bucket means with 95% CI. Right: triple-difference coefficients — the direct DST mechanism test. Neither bucket is significant; the morning coefficient is in the wrong direction for the displacement hypothesis.</w:t>
      </w:r>
    </w:p>
    <w:p>
      <w:pPr>
        <w:spacing w:before="160" w:after="40"/>
      </w:pPr>
      <w:r>
        <w:rPr>
          <w:b/>
          <w:sz w:val="20"/>
        </w:rPr>
        <w:t>Figure 6 — Hourly profiles, time-bucket summary, and triple-difference coefficients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869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ge_1b_hourly_crime_profile_before_vs_after_spr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595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ge_1c_bucket_level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035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ge_1d_displacement_regre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Limitations</w:t>
      </w:r>
    </w:p>
    <w:p>
      <w:pPr>
        <w:pStyle w:val="ListBullet"/>
        <w:spacing w:after="60"/>
      </w:pPr>
      <w:r>
        <w:rPr>
          <w:b/>
        </w:rPr>
        <w:t>Multiple testing</w:t>
      </w:r>
      <w:r>
        <w:t xml:space="preserve"> is the binding constraint on all individual-offense claims. After FWER correction, nothing is significant in the pooled analysis. The CA/UT heterogeneity finding is the most credible result but does not survive correction across all outcomes and state subgroups simultaneously.</w:t>
      </w:r>
    </w:p>
    <w:p>
      <w:pPr>
        <w:pStyle w:val="ListBullet"/>
        <w:spacing w:after="60"/>
      </w:pPr>
      <w:r>
        <w:rPr>
          <w:b/>
        </w:rPr>
        <w:t>Arizona contributes only 12 control counties</w:t>
      </w:r>
      <w:r>
        <w:t xml:space="preserve"> against 154 treated counties. The small control group limits precision throughout.</w:t>
      </w:r>
    </w:p>
    <w:p>
      <w:pPr>
        <w:pStyle w:val="ListBullet"/>
        <w:spacing w:after="60"/>
      </w:pPr>
      <w:r>
        <w:rPr>
          <w:b/>
        </w:rPr>
        <w:t>NIBRS coverage varies</w:t>
      </w:r>
      <w:r>
        <w:t xml:space="preserve"> — Florida has thin participation in early years. Estimates that shift materially when thin-coverage years are dropped would not be reliable.</w:t>
      </w:r>
    </w:p>
    <w:p>
      <w:pPr>
        <w:pStyle w:val="ListBullet"/>
        <w:spacing w:after="60"/>
      </w:pPr>
      <w:r>
        <w:rPr>
          <w:b/>
        </w:rPr>
        <w:t>Burglary, shoplifting, and theft from building</w:t>
      </w:r>
      <w:r>
        <w:t xml:space="preserve"> show borderline pre-trend violations in the event studies; causal interpretation of those offenses is not supported here.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Conclusion</w:t>
      </w:r>
    </w:p>
    <w:p>
      <w:pPr>
        <w:spacing w:after="120"/>
      </w:pPr>
      <w:r>
        <w:t xml:space="preserve">Using Arizona as a no-DST benchmark and two-way fixed effects to remove shared seasonality, this analysis finds </w:t>
      </w:r>
      <w:r>
        <w:rPr>
          <w:b/>
        </w:rPr>
        <w:t>no statistically credible evidence of a universal DST crime effect</w:t>
      </w:r>
      <w:r>
        <w:t xml:space="preserve"> across six offense types or in aggregate. The "Jelly Bean" problem — finding something marginally significant when testing many outcomes — is real here: after Holm-Bonferroni correction, the two marginally suggestive results (robbery and theft from motor vehicle in the pooled model) resolve to p ≈ 0.32.</w:t>
      </w:r>
    </w:p>
    <w:p>
      <w:pPr>
        <w:spacing w:after="120"/>
      </w:pPr>
      <w:r>
        <w:t xml:space="preserve">The one finding that stands apart is </w:t>
      </w:r>
      <w:r>
        <w:rPr>
          <w:b/>
        </w:rPr>
        <w:t>theft from motor vehicle in California and Utah</w:t>
      </w:r>
      <w:r>
        <w:t>, each of which shows a significant association with the DST window independently (p &lt; 0.004). This is worth investigating further, but it is not sufficient grounds for policy action on its own.</w:t>
      </w:r>
    </w:p>
    <w:p>
      <w:pPr>
        <w:spacing w:after="120"/>
      </w:pPr>
      <w:r>
        <w:t xml:space="preserve">The appropriate conclusion for legislators is: </w:t>
      </w:r>
      <w:r>
        <w:rPr>
          <w:b/>
        </w:rPr>
        <w:t>current evidence does not support citing crime as a basis for DST policy decisions in either direction.</w:t>
      </w:r>
      <w:r>
        <w:t xml:space="preserve"> A pre-registered multi-year hourly study focusing on CA and UT vehicle theft is the highest-value next step before this evidence base is used in a policy context.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Appendix: Additional Figures</w:t>
      </w:r>
    </w:p>
    <w:p>
      <w:pPr>
        <w:pStyle w:val="Heading3"/>
      </w:pPr>
      <w:r>
        <w:t>Descriptive statistics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5674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23_descriptive_stati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6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5674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_descriptive_stati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6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Event study: fall-back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898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25_event_stud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8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Robustness checks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1423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28_robustn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423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