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Memo: Does Daylight Saving Time Reduce Property Crime?</w:t>
      </w:r>
    </w:p>
    <w:p>
      <w:pPr>
        <w:spacing w:after="120"/>
      </w:pPr>
      <w:r>
        <w:rPr>
          <w:b/>
        </w:rPr>
        <w:t>To:</w:t>
      </w:r>
      <w:r>
        <w:t xml:space="preserve"> Director of Research, State Office of Justice Programs</w:t>
      </w:r>
    </w:p>
    <w:p>
      <w:pPr>
        <w:spacing w:after="120"/>
      </w:pPr>
      <w:r>
        <w:rPr>
          <w:b/>
        </w:rPr>
        <w:t>From:</w:t>
      </w:r>
      <w:r>
        <w:t xml:space="preserve"> Criminal justice data analysis team</w:t>
      </w:r>
    </w:p>
    <w:p>
      <w:pPr>
        <w:spacing w:after="120"/>
      </w:pPr>
      <w:r>
        <w:rPr>
          <w:b/>
        </w:rPr>
        <w:t>Re:</w:t>
      </w:r>
      <w:r>
        <w:t xml:space="preserve"> DST and property crime — CA (treated) vs AZ (control), 2022–2024</w:t>
      </w:r>
    </w:p>
    <w:p>
      <w:pPr>
        <w:spacing w:after="120"/>
      </w:pPr>
      <w:r>
        <w:rPr>
          <w:b/>
        </w:rPr>
        <w:t>Date:</w:t>
      </w:r>
      <w:r>
        <w:t xml:space="preserve"> May 2026</w:t>
      </w:r>
    </w:p>
    <w:p>
      <w:pPr>
        <w:spacing w:after="120"/>
      </w:pPr>
      <w:r>
        <w:rPr>
          <w:b/>
        </w:rPr>
        <w:t>Stakeholder:</w:t>
      </w:r>
      <w:r>
        <w:t xml:space="preserve"> The target reader is a Director of Research at a state Office of Justice Programs — a senior policy analyst with graduate-level training in social science research methods. They are comfortable reading coefficient plots / regression tables and concepts like fixed effects and parallel trends, but they are not expected to debug econometric edge-cases. They advise legislators on public safety proposals and need results framed as actionable guidance.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Executive Summary</w:t>
      </w:r>
    </w:p>
    <w:p>
      <w:pPr>
        <w:spacing w:after="120"/>
      </w:pPr>
      <w:r>
        <w:t xml:space="preserve">Daylight Saving Time (DST) is frequently justified (or criticized) on public-safety grounds: shifting one hour of daylight from morning to evening may change when people are outside and exposed, potentially changing property crime. The core empirical challenge is that </w:t>
      </w:r>
      <w:r>
        <w:rPr>
          <w:b/>
        </w:rPr>
        <w:t>DST months are also “summer months”</w:t>
      </w:r>
      <w:r>
        <w:t>, when crime often changes for many reasons unrelated to clocks (weather, school schedules, tourism, etc.).</w:t>
      </w:r>
    </w:p>
    <w:p>
      <w:pPr>
        <w:spacing w:after="120"/>
      </w:pPr>
      <w:r>
        <w:t xml:space="preserve">We evaluate a clean version of the question using a </w:t>
      </w:r>
      <w:r>
        <w:rPr>
          <w:b/>
        </w:rPr>
        <w:t>natural experiment</w:t>
      </w:r>
      <w:r>
        <w:t xml:space="preserve">: </w:t>
      </w:r>
      <w:r>
        <w:rPr>
          <w:b/>
        </w:rPr>
        <w:t>California (CA)</w:t>
      </w:r>
      <w:r>
        <w:t xml:space="preserve"> observes DST each year while </w:t>
      </w:r>
      <w:r>
        <w:rPr>
          <w:b/>
        </w:rPr>
        <w:t>Arizona (AZ)</w:t>
      </w:r>
      <w:r>
        <w:t xml:space="preserve"> does not change clocks. Using </w:t>
      </w:r>
      <w:r>
        <w:rPr>
          <w:b/>
        </w:rPr>
        <w:t>NIBRS county-day panels (2022–2024)</w:t>
      </w:r>
      <w:r>
        <w:t xml:space="preserve"> for </w:t>
      </w:r>
      <w:r>
        <w:rPr>
          <w:b/>
        </w:rPr>
        <w:t>burglary</w:t>
      </w:r>
      <w:r>
        <w:t xml:space="preserve"> and </w:t>
      </w:r>
      <w:r>
        <w:rPr>
          <w:b/>
        </w:rPr>
        <w:t>motor vehicle theft</w:t>
      </w:r>
      <w:r>
        <w:t xml:space="preserve">, we estimate a </w:t>
      </w:r>
      <w:r>
        <w:rPr>
          <w:b/>
        </w:rPr>
        <w:t>two-way fixed effects (TWFE) difference-in-differences</w:t>
      </w:r>
      <w:r>
        <w:t xml:space="preserve"> model with county fixed effects and year-month fixed effects (SE clustered by county). We pair that with a focused </w:t>
      </w:r>
      <w:r>
        <w:rPr>
          <w:b/>
        </w:rPr>
        <w:t>mechanism test</w:t>
      </w:r>
      <w:r>
        <w:t xml:space="preserve"> using </w:t>
      </w:r>
      <w:r>
        <w:rPr>
          <w:b/>
        </w:rPr>
        <w:t>hourly crime counts around the 2024 spring-forward transition</w:t>
      </w:r>
      <w:r>
        <w:t xml:space="preserve"> and a </w:t>
      </w:r>
      <w:r>
        <w:rPr>
          <w:b/>
        </w:rPr>
        <w:t>triple-difference</w:t>
      </w:r>
      <w:r>
        <w:t xml:space="preserve"> design to test whether crime shifts from evening to morning in the treated state relative to AZ.</w:t>
      </w:r>
    </w:p>
    <w:p>
      <w:pPr>
        <w:spacing w:after="120"/>
      </w:pPr>
      <w:r>
        <w:rPr>
          <w:b/>
        </w:rPr>
        <w:t>Main takeaway:</w:t>
      </w:r>
      <w:r>
        <w:t xml:space="preserve"> Across both the mechanism test (Stage 1) and the main DiD estimates (Stage 2), we find </w:t>
      </w:r>
      <w:r>
        <w:rPr>
          <w:b/>
        </w:rPr>
        <w:t>no statistically credible evidence that DST meaningfully reduces property crime</w:t>
      </w:r>
      <w:r>
        <w:t xml:space="preserve"> in this setting. Estimates are small and statistically indistinguishable from zero across specifications, and robustness checks do not change that conclusion.</w:t>
      </w:r>
    </w:p>
    <w:p>
      <w:pPr>
        <w:pStyle w:val="Heading2"/>
      </w:pPr>
      <w:r>
        <w:t>Decisions Requested</w:t>
      </w:r>
    </w:p>
    <w:p>
      <w:pPr>
        <w:pStyle w:val="ListNumber"/>
        <w:spacing w:after="60"/>
      </w:pPr>
      <w:r>
        <w:rPr>
          <w:b/>
        </w:rPr>
        <w:t>Policy messaging:</w:t>
      </w:r>
      <w:r>
        <w:t xml:space="preserve"> Decide whether to treat “DST reduces property crime” as unsupported for legislative / stakeholder communication in this setting.</w:t>
      </w:r>
    </w:p>
    <w:p>
      <w:pPr>
        <w:pStyle w:val="ListNumber"/>
        <w:spacing w:after="60"/>
      </w:pPr>
      <w:r>
        <w:rPr>
          <w:b/>
        </w:rPr>
        <w:t>Research scope:</w:t>
      </w:r>
      <w:r>
        <w:t xml:space="preserve"> Decide whether to invest in a follow-up study focused on (a) more offense types, and/or (b) a longer panel beyond 2022–2024, to detect smaller effects.</w:t>
      </w:r>
    </w:p>
    <w:p>
      <w:pPr>
        <w:pStyle w:val="ListNumber"/>
        <w:spacing w:after="60"/>
      </w:pPr>
      <w:r>
        <w:rPr>
          <w:b/>
        </w:rPr>
        <w:t>Mechanism vs levels:</w:t>
      </w:r>
      <w:r>
        <w:t xml:space="preserve"> Decide whether your stakeholder cares more about (a) a short-run transition effect (spring-forward week) or (b) sustained DST-window effects (Mar–Nov). This memo focuses primarily on (b) and uses (a) as a mechanism diagnostic.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Why Arizona is the Control and Why Fixed Effects</w:t>
      </w:r>
    </w:p>
    <w:p>
      <w:pPr>
        <w:spacing w:after="120"/>
      </w:pPr>
      <w:r>
        <w:t xml:space="preserve">A naive comparison of “DST months vs non-DST months” in California would confound clocks with season. Arizona provides a rare U.S. benchmark: AZ experiences the same seasonal cycle but </w:t>
      </w:r>
      <w:r>
        <w:rPr>
          <w:b/>
        </w:rPr>
        <w:t>does not change clocks</w:t>
      </w:r>
      <w:r>
        <w:t>. The TWFE design further removes confounding by absorbing:</w:t>
      </w:r>
    </w:p>
    <w:p>
      <w:pPr>
        <w:pStyle w:val="ListBullet"/>
        <w:spacing w:after="60"/>
      </w:pPr>
      <w:r>
        <w:rPr>
          <w:b/>
        </w:rPr>
        <w:t>County fixed effects:</w:t>
      </w:r>
      <w:r>
        <w:t xml:space="preserve"> time-invariant county differences (levels, policing, reporting).</w:t>
      </w:r>
    </w:p>
    <w:p>
      <w:pPr>
        <w:pStyle w:val="ListBullet"/>
        <w:spacing w:after="60"/>
      </w:pPr>
      <w:r>
        <w:rPr>
          <w:b/>
        </w:rPr>
        <w:t>Year-month fixed effects:</w:t>
      </w:r>
      <w:r>
        <w:t xml:space="preserve"> shared seasonality and shocks common across counties within the same month.</w:t>
      </w:r>
    </w:p>
    <w:p>
      <w:pPr>
        <w:spacing w:after="120"/>
      </w:pPr>
      <w:r>
        <w:t xml:space="preserve">This isolates whether CA’s daily crime rates shift </w:t>
      </w:r>
      <w:r>
        <w:rPr>
          <w:i/>
        </w:rPr>
        <w:t>differentially</w:t>
      </w:r>
      <w:r>
        <w:t xml:space="preserve"> during the DST window relative to AZ.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Top row shows seasonal patterns (non-DST months vs DST months). Bottom row shows a ±15-day window around spring-forward (day 0). There is no visible discontinuity at spring-forward in either outcome.</w:t>
      </w:r>
    </w:p>
    <w:p>
      <w:pPr>
        <w:spacing w:before="160" w:after="40"/>
      </w:pPr>
      <w:r>
        <w:rPr>
          <w:b/>
          <w:sz w:val="20"/>
        </w:rPr>
        <w:t>Figure 1 — Seasonality and spring-forward window (CA vs AZ)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88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ction_2_eda_descriptive_tren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8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Stage 1 — Mechanism: Time-of-Day Displacement (Triple-Difference)</w:t>
      </w:r>
    </w:p>
    <w:p>
      <w:pPr>
        <w:spacing w:after="120"/>
      </w:pPr>
      <w:r>
        <w:rPr>
          <w:b/>
        </w:rPr>
        <w:t>Question:</w:t>
      </w:r>
      <w:r>
        <w:t xml:space="preserve"> If DST matters through ambient light, does crime shift </w:t>
      </w:r>
      <w:r>
        <w:rPr>
          <w:b/>
        </w:rPr>
        <w:t>away from the newly-lighter evening</w:t>
      </w:r>
      <w:r>
        <w:t xml:space="preserve"> and </w:t>
      </w:r>
      <w:r>
        <w:rPr>
          <w:b/>
        </w:rPr>
        <w:t>toward the newly-darker morning</w:t>
      </w:r>
      <w:r>
        <w:t>?</w:t>
      </w:r>
    </w:p>
    <w:p>
      <w:pPr>
        <w:spacing w:after="120"/>
      </w:pPr>
      <w:r>
        <w:rPr>
          <w:b/>
        </w:rPr>
        <w:t>Data:</w:t>
      </w:r>
      <w:r>
        <w:t xml:space="preserve"> Hourly crime counts for CA / AZ (and a robustness treated group CA+UT) around the </w:t>
      </w:r>
      <w:r>
        <w:rPr>
          <w:b/>
        </w:rPr>
        <w:t>2024 spring-forward</w:t>
      </w:r>
      <w:r>
        <w:t>, within a ±28-day window.</w:t>
      </w:r>
    </w:p>
    <w:p>
      <w:pPr>
        <w:spacing w:after="120"/>
      </w:pPr>
      <w:r>
        <w:rPr>
          <w:b/>
        </w:rPr>
        <w:t>Design:</w:t>
      </w:r>
      <w:r>
        <w:t xml:space="preserve"> A triple-difference compares the pre/post shift in time-of-day buckets in CA (treated) relative to AZ (control), with county fixed effects and day-of-week and offense-type controls. The coefficient of interest is the triple interaction on the “morning_dark” and “evening_light” buckets.</w:t>
      </w:r>
    </w:p>
    <w:p>
      <w:pPr>
        <w:spacing w:after="120"/>
      </w:pPr>
      <w:r>
        <w:rPr>
          <w:b/>
        </w:rPr>
        <w:t>Key result:</w:t>
      </w:r>
      <w:r>
        <w:t xml:space="preserve"> The identified triple-difference coefficients are small and not statistically significant (p-values &gt; 0.37). Notably, the morning coefficient is negative (opposite the displacement hypothesis).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86"/>
        <w:gridCol w:w="1786"/>
        <w:gridCol w:w="1786"/>
        <w:gridCol w:w="1786"/>
        <w:gridCol w:w="1786"/>
      </w:tblGrid>
      <w:tr>
        <w:tc>
          <w:tcPr>
            <w:tcW w:type="dxa" w:w="17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Model</w:t>
            </w:r>
          </w:p>
        </w:tc>
        <w:tc>
          <w:tcPr>
            <w:tcW w:type="dxa" w:w="17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Bucket</w:t>
            </w:r>
          </w:p>
        </w:tc>
        <w:tc>
          <w:tcPr>
            <w:tcW w:type="dxa" w:w="17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Coef</w:t>
            </w:r>
          </w:p>
        </w:tc>
        <w:tc>
          <w:tcPr>
            <w:tcW w:type="dxa" w:w="17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SE</w:t>
            </w:r>
          </w:p>
        </w:tc>
        <w:tc>
          <w:tcPr>
            <w:tcW w:type="dxa" w:w="178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p-value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/>
            <w:r>
              <w:t>CA vs AZ (main)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morning_dark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-0.0443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0.0638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0.4876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/>
            <w:r>
              <w:t>CA+UT vs AZ (robustness)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morning_dark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-0.0440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0.0637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0.4895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/>
            <w:r>
              <w:t>CA vs AZ (main)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evening_light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-0.0600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0.0674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0.3729</w:t>
            </w:r>
          </w:p>
        </w:tc>
      </w:tr>
      <w:tr>
        <w:tc>
          <w:tcPr>
            <w:tcW w:type="dxa" w:w="1786"/>
          </w:tcPr>
          <w:p>
            <w:pPr>
              <w:spacing w:after="40"/>
            </w:pPr>
            <w:r/>
            <w:r>
              <w:t>CA+UT vs AZ (robustness)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evening_light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-0.0554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0.0674</w:t>
            </w:r>
          </w:p>
        </w:tc>
        <w:tc>
          <w:tcPr>
            <w:tcW w:type="dxa" w:w="1786"/>
          </w:tcPr>
          <w:p>
            <w:pPr>
              <w:spacing w:after="40"/>
            </w:pPr>
            <w:r/>
            <w:r>
              <w:t>0.4110</w:t>
            </w:r>
          </w:p>
        </w:tc>
      </w:tr>
    </w:tbl>
    <w:p/>
    <w:p>
      <w:pPr>
        <w:spacing w:before="40" w:after="160"/>
        <w:ind w:left="360"/>
      </w:pPr>
      <w:r>
        <w:rPr>
          <w:i/>
          <w:color w:val="444444"/>
          <w:sz w:val="19"/>
        </w:rPr>
        <w:t>Raw hourly averages before vs after spring-forward for treated vs control groups, plus full-year seasonal profiles (CA+UT). This is descriptive; the identified mechanism test is the triple-difference regression.</w:t>
      </w:r>
    </w:p>
    <w:p>
      <w:pPr>
        <w:spacing w:before="160" w:after="40"/>
      </w:pPr>
      <w:r>
        <w:rPr>
          <w:b/>
          <w:sz w:val="20"/>
        </w:rPr>
        <w:t>Figure 2 — Hourly profiles around spring-forward (context)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84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ction_3_stage_1_mechanism_time_of_day_displace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triple-difference panel (right) shows no statistically clear shift in morning/evening buckets relative to late-night reference.</w:t>
      </w:r>
    </w:p>
    <w:p>
      <w:pPr>
        <w:spacing w:before="160" w:after="40"/>
      </w:pPr>
      <w:r>
        <w:rPr>
          <w:b/>
          <w:sz w:val="20"/>
        </w:rPr>
        <w:t>Figure 3 — Stage 1 displacement regression coefficients (identified triple-diff panel)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962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tion_3_stage_1_mechanism_time_of_day_displac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62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Stage 2 — Main Result: Does DST Change Total Daily Crime? (TWFE DiD)</w:t>
      </w:r>
    </w:p>
    <w:p>
      <w:pPr>
        <w:spacing w:after="120"/>
      </w:pPr>
      <w:r>
        <w:rPr>
          <w:b/>
        </w:rPr>
        <w:t>Question:</w:t>
      </w:r>
      <w:r>
        <w:t xml:space="preserve"> Does being in the DST window (Mar–Nov in CA, never in AZ) change the </w:t>
      </w:r>
      <w:r>
        <w:rPr>
          <w:b/>
        </w:rPr>
        <w:t>level</w:t>
      </w:r>
      <w:r>
        <w:t xml:space="preserve"> of daily property crime?</w:t>
      </w:r>
    </w:p>
    <w:p>
      <w:pPr>
        <w:pStyle w:val="ListBullet"/>
        <w:spacing w:after="60"/>
      </w:pPr>
      <w:r>
        <w:t>Outcome: daily crime rate per 100k (</w:t>
      </w:r>
      <w:r>
        <w:rPr>
          <w:rFonts w:ascii="Courier New" w:hAnsi="Courier New"/>
          <w:sz w:val="20"/>
        </w:rPr>
        <w:t>crime_rate_per_100k</w:t>
      </w:r>
      <w:r>
        <w:t xml:space="preserve">) and a robustness outcome </w:t>
      </w:r>
      <w:r>
        <w:rPr>
          <w:rFonts w:ascii="Courier New" w:hAnsi="Courier New"/>
          <w:sz w:val="20"/>
        </w:rPr>
        <w:t>log(1 + rate)</w:t>
      </w:r>
      <w:r>
        <w:t>.</w:t>
      </w:r>
    </w:p>
    <w:p>
      <w:pPr>
        <w:pStyle w:val="ListBullet"/>
        <w:spacing w:after="60"/>
      </w:pPr>
      <w:r>
        <w:t xml:space="preserve">Regressors: </w:t>
      </w:r>
      <w:r>
        <w:rPr>
          <w:rFonts w:ascii="Courier New" w:hAnsi="Courier New"/>
          <w:sz w:val="20"/>
        </w:rPr>
        <w:t>in_dst_window</w:t>
      </w:r>
      <w:r>
        <w:t xml:space="preserve">, </w:t>
      </w:r>
      <w:r>
        <w:rPr>
          <w:rFonts w:ascii="Courier New" w:hAnsi="Courier New"/>
          <w:sz w:val="20"/>
        </w:rPr>
        <w:t>is_weekend</w:t>
      </w:r>
      <w:r>
        <w:t xml:space="preserve">, </w:t>
      </w:r>
      <w:r>
        <w:rPr>
          <w:rFonts w:ascii="Courier New" w:hAnsi="Courier New"/>
          <w:sz w:val="20"/>
        </w:rPr>
        <w:t>is_holiday</w:t>
      </w:r>
      <w:r>
        <w:t>.</w:t>
      </w:r>
    </w:p>
    <w:p>
      <w:pPr>
        <w:pStyle w:val="ListBullet"/>
        <w:spacing w:after="60"/>
      </w:pPr>
      <w:r>
        <w:t>Fixed effects: county + year-month.</w:t>
      </w:r>
    </w:p>
    <w:p>
      <w:pPr>
        <w:pStyle w:val="ListBullet"/>
        <w:spacing w:after="60"/>
      </w:pPr>
      <w:r>
        <w:t>SE: clustered at county.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Specification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Coef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SE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p-value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95% CI</w:t>
            </w:r>
          </w:p>
        </w:tc>
        <w:tc>
          <w:tcPr>
            <w:tcW w:type="dxa" w:w="127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275"/>
          </w:tcPr>
          <w:p/>
        </w:tc>
      </w:tr>
      <w:tr>
        <w:tc>
          <w:tcPr>
            <w:tcW w:type="dxa" w:w="1275"/>
          </w:tcPr>
          <w:p>
            <w:pPr>
              <w:spacing w:after="40"/>
            </w:pPr>
            <w:r/>
            <w:r>
              <w:t>Burglary \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M1 Baseline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0.01665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0.01351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0.2178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[-0.0098, 0.0431]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76720</w:t>
            </w:r>
          </w:p>
        </w:tc>
      </w:tr>
      <w:tr>
        <w:tc>
          <w:tcPr>
            <w:tcW w:type="dxa" w:w="1275"/>
          </w:tcPr>
          <w:p>
            <w:pPr>
              <w:spacing w:after="40"/>
            </w:pPr>
            <w:r/>
            <w:r>
              <w:t>Burglary \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M2 Log rate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0.00439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0.00544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0.4191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[-0.0063, 0.0151]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76720</w:t>
            </w:r>
          </w:p>
        </w:tc>
      </w:tr>
      <w:tr>
        <w:tc>
          <w:tcPr>
            <w:tcW w:type="dxa" w:w="1275"/>
          </w:tcPr>
          <w:p>
            <w:pPr>
              <w:spacing w:after="40"/>
            </w:pPr>
            <w:r/>
            <w:r>
              <w:t>Motor Vehicle Theft \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M1 Baseline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-0.00845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0.01956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0.6659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[-0.0468, 0.0299]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76720</w:t>
            </w:r>
          </w:p>
        </w:tc>
      </w:tr>
      <w:tr>
        <w:tc>
          <w:tcPr>
            <w:tcW w:type="dxa" w:w="1275"/>
          </w:tcPr>
          <w:p>
            <w:pPr>
              <w:spacing w:after="40"/>
            </w:pPr>
            <w:r/>
            <w:r>
              <w:t>Motor Vehicle Theft \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M2 Log rate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0.00372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0.00524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0.4777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[-0.0066, 0.0140]</w:t>
            </w:r>
          </w:p>
        </w:tc>
        <w:tc>
          <w:tcPr>
            <w:tcW w:type="dxa" w:w="1275"/>
          </w:tcPr>
          <w:p>
            <w:pPr>
              <w:spacing w:after="40"/>
            </w:pPr>
            <w:r/>
            <w:r>
              <w:t>76720</w:t>
            </w:r>
          </w:p>
        </w:tc>
      </w:tr>
    </w:tbl>
    <w:p/>
    <w:p>
      <w:pPr>
        <w:spacing w:after="120"/>
      </w:pPr>
      <w:r>
        <w:t>Interpretation: confidence intervals cross zero for all outcomes/specs; there is no evidence of a meaningful average DST-window effect on daily burglary or motor vehicle theft in CA relative to AZ.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Shows the raw monthly patterns and highlights DST-window months in CA. This motivates the need for fixed effects rather than seasonal comparisons.</w:t>
      </w:r>
    </w:p>
    <w:p>
      <w:pPr>
        <w:spacing w:before="160" w:after="40"/>
      </w:pPr>
      <w:r>
        <w:rPr>
          <w:b/>
          <w:sz w:val="20"/>
        </w:rPr>
        <w:t>Figure 4 — Monthly trends (descriptive) and DST-window shading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33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tion_4_stage_2_main_did_results_primary_fi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33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The main DiD estimates are close to zero and imprecise enough that both small increases and small decreases remain plausible.</w:t>
      </w:r>
    </w:p>
    <w:p>
      <w:pPr>
        <w:spacing w:before="160" w:after="40"/>
      </w:pPr>
      <w:r>
        <w:rPr>
          <w:b/>
          <w:sz w:val="20"/>
        </w:rPr>
        <w:t>Figure 5 — Main TWFE effect sizes (dot + 95% CI)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4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ion_4_stage_2_main_did_results_primary_fi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4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Pre-period coefficients are not systematically far from zero, providing partial visual support for parallel trends; post-period shows no consistent shift.</w:t>
      </w:r>
    </w:p>
    <w:p>
      <w:pPr>
        <w:spacing w:before="160" w:after="40"/>
      </w:pPr>
      <w:r>
        <w:rPr>
          <w:b/>
          <w:sz w:val="20"/>
        </w:rPr>
        <w:t>Figure 6 — Event study around spring-forward (parallel-trends diagnostic)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50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ction_4_stage_2_main_did_results_primary_fin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Robustness Checks</w:t>
      </w:r>
    </w:p>
    <w:p>
      <w:pPr>
        <w:spacing w:after="120"/>
      </w:pPr>
      <w:r>
        <w:t>We test whether the null main result is sensitive to alternative samples/specifications:</w:t>
      </w:r>
    </w:p>
    <w:p>
      <w:pPr>
        <w:pStyle w:val="ListBullet"/>
        <w:spacing w:after="60"/>
      </w:pPr>
      <w:r>
        <w:t>Excluding holidays</w:t>
      </w:r>
    </w:p>
    <w:p>
      <w:pPr>
        <w:pStyle w:val="ListBullet"/>
        <w:spacing w:after="60"/>
      </w:pPr>
      <w:r>
        <w:t>Weekdays only</w:t>
      </w:r>
    </w:p>
    <w:p>
      <w:pPr>
        <w:pStyle w:val="ListBullet"/>
        <w:spacing w:after="60"/>
      </w:pPr>
      <w:r>
        <w:t>Placebo “treatment” during standard-time months</w:t>
      </w:r>
    </w:p>
    <w:p>
      <w:pPr>
        <w:pStyle w:val="ListBullet"/>
        <w:spacing w:after="60"/>
      </w:pPr>
      <w:r>
        <w:t>Excluding ±7 days around transition</w:t>
      </w:r>
    </w:p>
    <w:p>
      <w:pPr>
        <w:pStyle w:val="ListBullet"/>
        <w:spacing w:after="60"/>
      </w:pPr>
      <w:r>
        <w:t>Alternative treated group: CA+UT vs AZ (robustness)</w:t>
      </w:r>
    </w:p>
    <w:p>
      <w:pPr>
        <w:pStyle w:val="ListBullet"/>
        <w:spacing w:after="60"/>
      </w:pPr>
      <w:r>
        <w:t>Narrow windows around spring-forward (±7 to ±30 days)</w:t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Across robustness specifications, point estimates remain close to zero and confidence intervals include zero. The CA+UT treated check (green) does not change conclusions.</w:t>
      </w:r>
    </w:p>
    <w:p>
      <w:pPr>
        <w:spacing w:before="160" w:after="40"/>
      </w:pPr>
      <w:r>
        <w:rPr>
          <w:b/>
          <w:sz w:val="20"/>
        </w:rPr>
        <w:t>Figure 7 — Robustness forest plot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191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ction_5_robustness_chec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9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360"/>
      </w:pPr>
      <w:r>
        <w:rPr>
          <w:i/>
          <w:color w:val="444444"/>
          <w:sz w:val="19"/>
        </w:rPr>
        <w:t>Restricting the analysis to short windows around spring-forward does not reveal a hidden effect masked by seasonality.</w:t>
      </w:r>
    </w:p>
    <w:p>
      <w:pPr>
        <w:spacing w:before="160" w:after="40"/>
      </w:pPr>
      <w:r>
        <w:rPr>
          <w:b/>
          <w:sz w:val="20"/>
        </w:rPr>
        <w:t>Figure 8 — Narrow-window DiD around spring-forward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690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ction_5_robustness_check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9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Limitations</w:t>
      </w:r>
    </w:p>
    <w:p>
      <w:pPr>
        <w:pStyle w:val="ListBullet"/>
        <w:spacing w:after="60"/>
      </w:pPr>
      <w:r>
        <w:rPr>
          <w:b/>
        </w:rPr>
        <w:t>Outcomes:</w:t>
      </w:r>
      <w:r>
        <w:t xml:space="preserve"> The refined memo focuses on two property-crime types (burglary and motor vehicle theft). DST effects could differ for other offense categories.</w:t>
      </w:r>
    </w:p>
    <w:p>
      <w:pPr>
        <w:pStyle w:val="ListBullet"/>
        <w:spacing w:after="60"/>
      </w:pPr>
      <w:r>
        <w:rPr>
          <w:b/>
        </w:rPr>
        <w:t>Time span:</w:t>
      </w:r>
      <w:r>
        <w:t xml:space="preserve"> The panel covers 2022–2024; smaller effects may require a longer series to detect.</w:t>
      </w:r>
    </w:p>
    <w:p>
      <w:pPr>
        <w:pStyle w:val="ListBullet"/>
        <w:spacing w:after="60"/>
      </w:pPr>
      <w:r>
        <w:rPr>
          <w:b/>
        </w:rPr>
        <w:t>NIBRS coverage:</w:t>
      </w:r>
      <w:r>
        <w:t xml:space="preserve"> NIBRS is not a full census of all jurisdictions; reporting coverage changes can affect precision.</w:t>
      </w:r>
    </w:p>
    <w:p>
      <w:pPr>
        <w:pStyle w:val="ListBullet"/>
        <w:spacing w:after="60"/>
      </w:pPr>
      <w:r>
        <w:rPr>
          <w:b/>
        </w:rPr>
        <w:t>Assumptions:</w:t>
      </w:r>
      <w:r>
        <w:t xml:space="preserve"> Parallel trends cannot be proven; event-study visuals provide partial support but are not definitive.</w:t>
      </w:r>
    </w:p>
    <w:p>
      <w:pPr>
        <w:pStyle w:val="ListBullet"/>
        <w:spacing w:after="60"/>
      </w:pPr>
      <w:r>
        <w:rPr>
          <w:b/>
        </w:rPr>
        <w:t>Mechanism sample:</w:t>
      </w:r>
      <w:r>
        <w:t xml:space="preserve"> The Stage 1 mechanism test focuses on a single spring-forward (2024) and may miss longer-run adaptation.</w:t>
      </w:r>
    </w:p>
    <w:p>
      <w:pPr>
        <w:pStyle w:val="Heading2"/>
      </w:pPr>
      <w:r>
        <w:t>Conclusion</w:t>
      </w:r>
    </w:p>
    <w:p>
      <w:pPr>
        <w:spacing w:after="120"/>
      </w:pPr>
      <w:r>
        <w:t xml:space="preserve">Using Arizona as a no-clock-change control and a TWFE DiD design with county and year-month fixed effects, we find </w:t>
      </w:r>
      <w:r>
        <w:rPr>
          <w:b/>
        </w:rPr>
        <w:t>no reliable evidence that DST reduces daily burglary or motor vehicle theft</w:t>
      </w:r>
      <w:r>
        <w:t xml:space="preserve"> in California relative to Arizona. A targeted mechanism test based on hourly data similarly fails to find a statistically credible time-of-day displacement consistent with the “lighter evenings reduce crime” hypothesis.</w:t>
      </w:r>
    </w:p>
    <w:p>
      <w:pPr>
        <w:spacing w:after="120"/>
      </w:pPr>
      <w:r>
        <w:rPr>
          <w:b/>
        </w:rPr>
        <w:t>Bottom line for stakeholders:</w:t>
      </w:r>
      <w:r>
        <w:t xml:space="preserve"> In this setting and time period, DST does not appear to be a meaningful property-crime prevention tool. The best next step, if a decision requires stronger evidence, is to expand scope (more years and/or more offenses) rather than to rely on seasonal comparisons.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