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/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/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/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— это процесс проверки и оценки различных артефактов в разработке программного обеспечения или других проектов. Рассмотрим основные аспекты:</w:t>
        <w:br/>
        <w:br/>
        <w:t>Цели ревьюирования:</w:t>
        <w:br/>
        <w:t>1. Обнаружение и исправление ошибок на ранних этапах.</w:t>
        <w:br/>
        <w:t>2. Повышение качества продукта.</w:t>
        <w:br/>
        <w:t>3. Обучение команды и обмен знаниями.</w:t>
        <w:br/>
        <w:t>4. Улучшение соответствия стандартам и требованиям.</w:t>
        <w:br/>
        <w:t>5. Снижение затрат на последующую поддержку.</w:t>
        <w:br/>
        <w:br/>
        <w:t>Задачи ревьюирования:</w:t>
        <w:br/>
        <w:t>1. Проверка корректности и полноты требований, дизайна или кода.</w:t>
        <w:br/>
        <w:t>2. Выявление дефектов, несоответствий и потенциальных рисков.</w:t>
        <w:br/>
        <w:t>3. Анализ структуры, логики и читаемости.</w:t>
        <w:br/>
        <w:t>4. Оценка соответствия установленным стандартам и соглашениям.</w:t>
        <w:br/>
        <w:t>5. Формирование рекомендаций по улучшению.</w:t>
        <w:br/>
        <w:br/>
        <w:t>Этапы ревьюирования:</w:t>
        <w:br/>
        <w:t>1. Подготовительный этап — выбор объектов ревью, назначение участников, планирование.</w:t>
        <w:br/>
        <w:t>2. Ознакомление с материалами — участники изучают артефакты.</w:t>
        <w:br/>
        <w:t>3. Проведение самой сессии ревью — обсуждение, выявление проблем.</w:t>
        <w:br/>
        <w:t>4. Документирование результатов — запись найденных дефектов и рекомендаций.</w:t>
        <w:br/>
        <w:t>5. Исправление и повторное ревью при необходимости.</w:t>
        <w:br/>
        <w:br/>
        <w:t>Объекты ревьюирования:</w:t>
        <w:br/>
        <w:t>- Требования (бизнес-требования, технические требования).</w:t>
        <w:br/>
        <w:t>- Проектная документация (архитектура, дизайн).</w:t>
        <w:br/>
        <w:t>- Код программы.</w:t>
        <w:br/>
        <w:t>- Тестовые сценарии и планы.</w:t>
        <w:br/>
        <w:t>- Пользовательская документация.</w:t>
        <w:br/>
        <w:br/>
        <w:t>Планирование ревьюирования включает следующие шаги:</w:t>
        <w:br/>
        <w:t>1. Определение целей и критериев ревью.</w:t>
        <w:br/>
        <w:t>2. Выбор артефактов для ревью.</w:t>
        <w:br/>
        <w:t>3. Назначение ответственных и участников.</w:t>
        <w:br/>
        <w:t>4. Согласование сроков и ресурсов.</w:t>
        <w:br/>
        <w:t>5. Подготовка материалов для анализа.</w:t>
        <w:br/>
        <w:t>6. Разработка регламента проведения ревью.</w:t>
        <w:br/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Характеристика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Git      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SVN         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Архитектура   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Распределенная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Клиенто-серверная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Поддержка веток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Ограниченная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Производительность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Простота использования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Умеренно сложная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 xml:space="preserve">В ходе учебной практики я ознакомился с процессом ревьюирования, изучил его цели, задачи и основные этапы. Приобрел навыки планирования ревью, а также научился проводить анализ различных артефактов, таких как требования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Это позволило мне понять важность систематической проверки для повышения качества программного продукта и своевременного выявления ошибок. Полученный опыт стал значительным шагом в моем профессиональном развитии и подготовке к будущей работе в области разработки и тестирования программного обеспечения.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учебной практики по ревьюированию я подробно изучил процесс оценки и проверки различных артефактов, включая требования, дизайн и код.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основными целями и задачами ревью, научился планировать и организовывать сессии ревью, выявлять дефекты и формулировать рекомендации по их исправлению. Практика показала, насколько важным является систематический подход к ревью для повышения качества продукта и предотвращения ошибок на ранних этапах разработки. Полученные знания и навыки станут основой для эффективной работы в команде и улучшения процессов разработки в будущем.</w:t>
        <w:br/>
        <w:b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b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LibreOffice/7.6.4.1$Linux_X86_64 LibreOffice_project/60$Build-1</Application>
  <AppVersion>15.0000</AppVersion>
  <Pages>30</Pages>
  <Words>3922</Words>
  <Characters>28817</Characters>
  <CharactersWithSpaces>32546</CharactersWithSpaces>
  <Paragraphs>242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2025-06-07T09:05:45Z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