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2026年08月11日(周二)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生成时间:2026-08-11 19:05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r>
        <w:rPr>
          <w:rFonts w:ascii="Times New Roman" w:hAnsi="Times New Roman" w:eastAsia="宋体"/>
          <w:b/>
          <w:sz w:val="21"/>
        </w:rPr>
        <w:t xml:space="preserve">1. </w:t>
      </w:r>
      <w:r>
        <w:rPr>
          <w:rFonts w:ascii="Times New Roman" w:hAnsi="Times New Roman" w:eastAsia="宋体"/>
          <w:b/>
          <w:color w:val="41D87E"/>
          <w:sz w:val="21"/>
        </w:rPr>
        <w:t>【本地】</w:t>
      </w:r>
      <w:r>
        <w:rPr>
          <w:rFonts w:ascii="Times New Roman" w:hAnsi="Times New Roman" w:eastAsia="宋体"/>
          <w:sz w:val="21"/>
        </w:rPr>
        <w:t>顺丰无人车已在深圳实现昼夜常态化规模化运营——顺丰198台L4级自动驾驶无人车在深圳投入昼夜常态化运营，覆盖307条线路及25条夜间专线，日均配送效率提升显著，成为国内首个实现全时段规模化落地的物流无人车队。(IT之家)</w:t>
      </w:r>
    </w:p>
    <w:p>
      <w:r>
        <w:rPr>
          <w:rFonts w:ascii="Times New Roman" w:hAnsi="Times New Roman" w:eastAsia="宋体"/>
          <w:b/>
          <w:sz w:val="21"/>
        </w:rPr>
        <w:t xml:space="preserve">2. </w:t>
      </w:r>
      <w:r>
        <w:rPr>
          <w:rFonts w:ascii="Times New Roman" w:hAnsi="Times New Roman" w:eastAsia="宋体"/>
          <w:b/>
          <w:color w:val="41D87E"/>
          <w:sz w:val="21"/>
        </w:rPr>
        <w:t>【本地】</w:t>
      </w:r>
      <w:r>
        <w:rPr>
          <w:rFonts w:ascii="Times New Roman" w:hAnsi="Times New Roman" w:eastAsia="宋体"/>
          <w:sz w:val="21"/>
        </w:rPr>
        <w:t>格力电器今年新招毕业生 6514 人，董明珠再承诺不裁员、称自己靠好产品成为“网红”——格力电器2026届校招规模达6514人，董事长董明珠现场承诺‘不裁员’，强调以技术创新与产品力驱动增长，呼应国家‘以旧换新’政策下制造业稳岗扩岗的积极信号。(IT之家)</w:t>
      </w:r>
    </w:p>
    <w:p>
      <w:r>
        <w:rPr>
          <w:rFonts w:ascii="Times New Roman" w:hAnsi="Times New Roman" w:eastAsia="宋体"/>
          <w:b/>
          <w:sz w:val="21"/>
        </w:rPr>
        <w:t xml:space="preserve">3. </w:t>
      </w:r>
      <w:r>
        <w:rPr>
          <w:rFonts w:ascii="Times New Roman" w:hAnsi="Times New Roman" w:eastAsia="宋体"/>
          <w:sz w:val="21"/>
        </w:rPr>
        <w:t>未公开的新模型“立功”，Anthropic 宣布 Claude 攻克黎曼猜想取得重大突破——Anthropic宣布其未公开研究版Claude在黎曼猜想验证中取得关键进展，将临界线上零点比例下界显著提升，引发数学界与AI学界高度关注。该成果若经严格验证，或将重塑AI在基础科学发现中的角色定位。(IT之家)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/>
          <w:color w:val="41D87E"/>
          <w:sz w:val="24"/>
        </w:rPr>
        <w:t>【A级·线索】</w:t>
      </w:r>
      <w:r>
        <w:rPr>
          <w:rFonts w:ascii="Times New Roman" w:hAnsi="Times New Roman" w:eastAsia="黑体"/>
          <w:b/>
          <w:color w:val="41D87E"/>
          <w:sz w:val="24"/>
        </w:rPr>
        <w:t>未公开的新模型“立功”，Anthropic 宣布 Claude 攻克黎曼猜想取得重大突破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时间:08-11 18:35</w:t>
      </w:r>
    </w:p>
    <w:p>
      <w:r>
        <w:t>Anthropic宣布其未公开研究版Claude在黎曼猜想验证中取得关键进展，将临界线上零点比例下界显著提升，引发数学界与AI学界高度关注。该成果若经严格验证，或将重塑AI在基础科学发现中的角色定位。</w:t>
      </w:r>
    </w:p>
    <w:p>
      <w:r>
        <w:rPr>
          <w:rFonts w:ascii="Times New Roman" w:hAnsi="Times New Roman" w:eastAsia="宋体"/>
          <w:i/>
          <w:sz w:val="21"/>
        </w:rPr>
        <w:t>角度建议:聚焦中国科研团队是否参与验证、国内高校数学AI交叉实验室反应；可联系中山大学数学院、中科院广州地化所AI数学实验室进行权威解读。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未公开的新模型“立功”，Anthropic 宣布 Claude 攻克黎曼猜想取得重大突破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蚂蚁百灵开源 Ling-3.0-tiny 模型，支持英伟达 DGX Spark、苹果 Mac mini 部署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时间:08-11 17:57</w:t>
      </w:r>
    </w:p>
    <w:p>
      <w:r>
        <w:t>蚂蚁百灵正式开源轻量级混合推理MoE模型Ling-3.0-tiny（7.9B参数），适配国产算力平台及消费级设备，强调边缘端部署能力，为中小企业和开发者提供低成本AI落地新路径。</w:t>
      </w:r>
    </w:p>
    <w:p>
      <w:r>
        <w:rPr>
          <w:rFonts w:ascii="Times New Roman" w:hAnsi="Times New Roman" w:eastAsia="宋体"/>
          <w:i/>
          <w:sz w:val="21"/>
        </w:rPr>
        <w:t>角度建议:挖掘广州AI企业（如云从、极飞）是否已接入该模型；对比华为昇腾+MindSpore生态，探讨大湾区AI芯片与模型协同进展。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蚂蚁百灵开源 Ling-3.0-tiny 模型，支持英伟达 DGX Spark、苹果 Mac mini 部署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商汤日日新 SenseNova 6.8 Flash Lite 预览版上线：主打轻量敏捷，剑指“委派智能”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时间:08-11 17:24</w:t>
      </w:r>
    </w:p>
    <w:p>
      <w:r>
        <w:t>商汤科技发布SenseNova 6.8 Flash Lite预览版，聚焦多模态轻量化智能体，强调任务委派与实时响应能力，瞄准政务、金融等高时效性场景，推动大模型从‘对话’走向‘执行’。</w:t>
      </w:r>
    </w:p>
    <w:p>
      <w:r>
        <w:rPr>
          <w:rFonts w:ascii="Times New Roman" w:hAnsi="Times New Roman" w:eastAsia="宋体"/>
          <w:i/>
          <w:sz w:val="21"/>
        </w:rPr>
        <w:t>角度建议:联动广州数字政府建设案例（如‘穗智管’升级需求），采访广州市政数局或黄埔区AI产业办，评估其在湾区城市治理中的落地潜力。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商汤日日新 SenseNova 6.8 Flash Lite 预览版上线：主打轻量敏捷，剑指“委派智能”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我国科研团队突破量子网络规模化部署难题，实现百用户级 MDI 量子网络验证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时间:08-11 18:40</w:t>
      </w:r>
    </w:p>
    <w:p>
      <w:r>
        <w:t>中科大郭光灿、韩正甫团队联合西安光机所，基于微腔光孤子技术实现百用户级测量设备无关（MDI）量子密钥分发网络，为高安全量子互联网大规模商用奠定关键技术基础。</w:t>
      </w:r>
    </w:p>
    <w:p>
      <w:r>
        <w:rPr>
          <w:rFonts w:ascii="Times New Roman" w:hAnsi="Times New Roman" w:eastAsia="宋体"/>
          <w:i/>
          <w:sz w:val="21"/>
        </w:rPr>
        <w:t>角度建议:关注中山大学、华南师大在量子通信领域的合作布局；可联系广州超算中心探讨量子-经典混合算力协同试验可能性。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我国科研团队突破量子网络规模化部署难题，实现百用户级 MDI 量子网络验证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谷歌力推的 AI 招聘工具遭自家 DeepMind 团队“打脸”：或不小心误筛简历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时间:08-11 16:59</w:t>
      </w:r>
    </w:p>
    <w:p>
      <w:r>
        <w:t>彭博社报道显示，谷歌内部AI招聘工具在实际应用中存在误筛风险，DeepMind研究人员倾向人工初筛，暴露AI HR工具在公平性、可解释性方面的现实瓶颈，引发企业用人伦理反思。</w:t>
      </w:r>
    </w:p>
    <w:p>
      <w:r>
        <w:rPr>
          <w:rFonts w:ascii="Times New Roman" w:hAnsi="Times New Roman" w:eastAsia="宋体"/>
          <w:i/>
          <w:sz w:val="21"/>
        </w:rPr>
        <w:t>角度建议:结合广州人社部门‘AI+就业服务’试点（如南沙AI招聘驿站），对比分析本土实践中的算法审计与人工复核机制。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谷歌力推的 AI 招聘工具遭自家 DeepMind 团队“打脸”：或不小心误筛简历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千问开放AI眼镜生态：支持开发者打造导游、教练Skill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时间:08-11 11:45</w:t>
      </w:r>
    </w:p>
    <w:p>
      <w:r>
        <w:t>通义千问开放平台正式支持AI眼镜端开发，提供技能平台与行业定制模块，开发者可基于自然语言快速创建导游、教练等垂直场景Skill，加速AR眼镜应用生态构建。</w:t>
      </w:r>
    </w:p>
    <w:p>
      <w:r>
        <w:rPr>
          <w:rFonts w:ascii="Times New Roman" w:hAnsi="Times New Roman" w:eastAsia="宋体"/>
          <w:i/>
          <w:sz w:val="21"/>
        </w:rPr>
        <w:t>角度建议:广州有小鹏汇天、亿航智能等低空+AR融合探索者，可调研其是否接入千问眼镜生态，推动‘湾区空中交通导航’等特色场景落地。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千问开放AI眼镜生态：支持开发者打造导游、教练Skill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扎克伯格最新长文：超级智能走向个人，AI眼镜被写进个人Agent构想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时间:08-11 03:44</w:t>
      </w:r>
    </w:p>
    <w:p>
      <w:r>
        <w:t>扎克伯格提出‘超级智能应属于每个人’理念，将AI眼镜列为个人Agent核心载体，强调其作为‘数字感官延伸’的终极形态，预示人机交互范式将发生根本性变革。</w:t>
      </w:r>
    </w:p>
    <w:p>
      <w:r>
        <w:rPr>
          <w:rFonts w:ascii="Times New Roman" w:hAnsi="Times New Roman" w:eastAsia="宋体"/>
          <w:i/>
          <w:sz w:val="21"/>
        </w:rPr>
        <w:t>角度建议:结合广州人工智能公共算力中心建设，探讨本地高校（如广工、华工）在轻量化视觉大模型与眼镜端OS研发上的产学研机会。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扎克伯格最新长文：超级智能走向个人，AI眼镜被写进个人Agent构想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理想Livis二代2026年下半年发布！AI眼镜+原生鸿蒙App双线狂奔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时间:08-10 19:21</w:t>
      </w:r>
    </w:p>
    <w:p>
      <w:r>
        <w:t>理想汽车加速AI眼镜战略，Livis二代明确2026年下半年发布，同步推进鸿蒙原生App适配，标志着造车新势力正全面转向‘AI硬件+OS生态’双轮驱动模式。</w:t>
      </w:r>
    </w:p>
    <w:p>
      <w:r>
        <w:rPr>
          <w:rFonts w:ascii="Times New Roman" w:hAnsi="Times New Roman" w:eastAsia="宋体"/>
          <w:i/>
          <w:sz w:val="21"/>
        </w:rPr>
        <w:t>角度建议:广州是鸿蒙生态重要落地城市（华为广州研究院），可追踪理想与华为在车载鸿蒙、眼镜鸿蒙间的协同可能性。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理想Livis二代2026年下半年发布！AI眼镜+原生鸿蒙App双线狂奔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消息称字节继 Seed、Flow 后又成立新的一级部门，着眼 AI 数据与安全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时间:08-11 17:36</w:t>
      </w:r>
    </w:p>
    <w:p>
      <w:r>
        <w:t>字节跳动新设AI数据与安全一级部门，与Seed、Flow平行，凸显其在大模型时代对高质量训练数据治理与AI系统安全防护的战略重视，反映行业监管趋严下的主动布局。</w:t>
      </w:r>
    </w:p>
    <w:p>
      <w:r>
        <w:rPr>
          <w:rFonts w:ascii="Times New Roman" w:hAnsi="Times New Roman" w:eastAsia="宋体"/>
          <w:i/>
          <w:sz w:val="21"/>
        </w:rPr>
        <w:t>角度建议:广州有字节跳动华南研发中心（琶洲），可了解其在数据合规（如粤港澳跨境数据流动试点）方面的本地化实践。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消息称字节继 Seed、Flow 后又成立新的一级部门，着眼 AI 数据与安全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Muse Glimmer: 30B-parameter model optimized for always-on local agent workflows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时间:08-10 18:10</w:t>
      </w:r>
    </w:p>
    <w:p>
      <w:r>
        <w:t>Meta开源30B参数Muse Glimmer模型，专为常驻本地智能体工作流优化，支持离线运行与低延迟响应，为手机、穿戴设备及机器人提供高性能轻量级AI底座。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Muse Glimmer: 30B-parameter model optimized for always-on local agent workflows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DeepSeek 梁文锋财富一年暴涨 3850%，增速登顶全球亿万富豪榜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时间:08-11 17:13</w:t>
      </w:r>
    </w:p>
    <w:p>
      <w:r>
        <w:t>DeepSeek创始人梁文锋净资产年增速达3850%，登顶全球富豪增速榜首，印证中国大模型创业公司在技术突破与商业转化上的爆发力，折射AI产业资本价值重估浪潮。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DeepSeek 梁文锋财富一年暴涨 3850%，增速登顶全球亿万富豪榜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主攻代码智能体产品？深度求索注册“Deepseek Harness 团队”公众号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时间:08-11 15:22</w:t>
      </w:r>
    </w:p>
    <w:p>
      <w:r>
        <w:t>DeepSeek注册‘Deepseek Harness 团队’公众号，内部组建Harness新团队，聚焦代码智能体产品研发，预示其正从基础模型向垂直领域智能体解决方案商转型。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主攻代码智能体产品？深度求索注册“Deepseek Harness 团队”公众号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既有“耐力”又有“爆发力”，我国锂一次电池实现“双高”突破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时间:08-11 18:53</w:t>
      </w:r>
    </w:p>
    <w:p>
      <w:r>
        <w:t>中科院大连化物所团队研制出25安时级软包金属锂一次电池，能量密度超750Wh/kg，兼具高比能量与高功率输出，为特种装备与应急电源提供国产化高性能解决方案。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既有“耐力”又有“爆发力”，我国锂一次电池实现“双高”突破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集结全公司之力，消息称三星加快自研人形机器人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时间:08-11 15:59</w:t>
      </w:r>
    </w:p>
    <w:p>
      <w:r>
        <w:t>三星电子整合半导体、软件、制造数据等全链条资源加速人形机器人研发，被业界视为挑战波士顿动力与特斯拉Optimus的关键信号，凸显头部科技巨头对具身智能的战略押注。</w:t>
      </w:r>
    </w:p>
    <w:p>
      <w:r>
        <w:rPr>
          <w:rFonts w:ascii="Times New Roman" w:hAnsi="Times New Roman" w:eastAsia="宋体"/>
          <w:i/>
          <w:sz w:val="21"/>
        </w:rPr>
        <w:t>角度建议:对标广州机器人产业政策（《广州市智能机器人产业发展三年行动计划》），采访广州数控、云从科技、优必选（广州总部）对产业链协同的期待。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集结全公司之力，消息称三星加快自研人形机器人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荣耀 Robot Phone 超前品鉴会明日起在南京、深圳、成都、太原、福州、昆明六城举办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时间:08-11 16:38</w:t>
      </w:r>
    </w:p>
    <w:p>
      <w:r>
        <w:t>荣耀官宣Robot Phone真机品鉴活动覆盖六城，强调云台相机等机器人化交互能力，标志手机形态向‘移动机器人终端’演进迈出实质性一步，引发行业对AI硬件新范式的讨论。</w:t>
      </w:r>
    </w:p>
    <w:p>
      <w:r>
        <w:rPr>
          <w:rFonts w:ascii="Times New Roman" w:hAnsi="Times New Roman" w:eastAsia="宋体"/>
          <w:i/>
          <w:sz w:val="21"/>
        </w:rPr>
        <w:t>角度建议:深圳为大湾区核心节点，可追踪广州消费者预约情况及本地渠道反馈；联动广汽埃安‘车-机-机器人’生态布局做延伸报道。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荣耀 Robot Phone 超前品鉴会明日起在南京、深圳、成都、太原、福州、昆明六城举办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/>
          <w:color w:val="41D87E"/>
          <w:sz w:val="24"/>
        </w:rPr>
        <w:t>【A级·线索|本地】</w:t>
      </w:r>
      <w:r>
        <w:rPr>
          <w:rFonts w:ascii="Times New Roman" w:hAnsi="Times New Roman" w:eastAsia="黑体"/>
          <w:b/>
          <w:color w:val="41D87E"/>
          <w:sz w:val="24"/>
        </w:rPr>
        <w:t>顺丰无人车已在深圳实现昼夜常态化规模化运营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时间:08-11 16:01</w:t>
      </w:r>
    </w:p>
    <w:p>
      <w:r>
        <w:t>顺丰198台L4级自动驾驶无人车在深圳投入昼夜常态化运营，覆盖307条线路及25条夜间专线，日均配送效率提升显著，成为国内首个实现全时段规模化落地的物流无人车队。</w:t>
      </w:r>
    </w:p>
    <w:p>
      <w:r>
        <w:rPr>
          <w:rFonts w:ascii="Times New Roman" w:hAnsi="Times New Roman" w:eastAsia="宋体"/>
          <w:i/>
          <w:sz w:val="21"/>
        </w:rPr>
        <w:t>角度建议:深广同城化背景下，重点调研该技术向广州南沙、黄埔等物流枢纽延伸的可能性；采访广东省交通运输厅关于低速无人车路权开放最新进展。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顺丰无人车已在深圳实现昼夜常态化规模化运营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华为智选车产品总监彭磊：享界 G9 标配 ±12 度后轮转向，横向响应更“干净”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时间:08-11 18:17</w:t>
      </w:r>
    </w:p>
    <w:p>
      <w:r>
        <w:t>华为智选车首款硬派SUV享界G9搭载±12度后轮转向技术，大幅提升窄路调头与高速变道稳定性，体现华为在底盘控制算法与智能驾驶全栈能力上的深度突破。</w:t>
      </w:r>
    </w:p>
    <w:p>
      <w:r>
        <w:rPr>
          <w:rFonts w:ascii="Times New Roman" w:hAnsi="Times New Roman" w:eastAsia="宋体"/>
          <w:i/>
          <w:sz w:val="21"/>
        </w:rPr>
        <w:t>角度建议:广州是鸿蒙智行重要销售与交付基地（如天河旗舰店），可实地体验并采访本地车主；关联广汽与华为合作进展（如AH8项目）做对比分析。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华为智选车产品总监彭磊：享界 G9 标配 ±12 度后轮转向，横向响应更“干净”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吉利银河战舰 700“AI 全地形硬核 SUV”展车陆续到店，覆盖全国 119 城 150 店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时间:08-11 15:56</w:t>
      </w:r>
    </w:p>
    <w:p>
      <w:r>
        <w:t>吉利银河战舰700定位‘AI全地形硬核SUV’，强调AI驱动的越野决策与环境适应能力，展车已覆盖全国119城，展现自主品牌在智能出行硬件定义上的新跃迁。</w:t>
      </w:r>
    </w:p>
    <w:p>
      <w:r>
        <w:rPr>
          <w:rFonts w:ascii="Times New Roman" w:hAnsi="Times New Roman" w:eastAsia="宋体"/>
          <w:i/>
          <w:sz w:val="21"/>
        </w:rPr>
        <w:t>角度建议:广州为吉利重要市场（白云区有银河体验中心），可跟踪首批用户反馈；结合广东复杂地形（粤北山区、珠三角水网）测试其AI全地形能力。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吉利银河战舰 700“AI 全地形硬核 SUV”展车陆续到店，覆盖全国 119 城 150 店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越南 VinSpace 与 SpaceX 签署合同，2027 年发射首批人造卫星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时间:08-11 17:31</w:t>
      </w:r>
    </w:p>
    <w:p>
      <w:r>
        <w:t>越南VinGroup旗下VinSpace与SpaceX签约，计划2027年发射首批卫星，标志东南亚国家加速布局自主航天能力，对大湾区商业航天企业出海形成参照与竞争压力。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越南 VinSpace 与 SpaceX 签署合同，2027 年发射首批人造卫星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消息称淘宝闪购在上海、杭州内测到家餐饮项目“家宴”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时间:08-11 15:41</w:t>
      </w:r>
    </w:p>
    <w:p>
      <w:r>
        <w:t>淘宝闪购旗下高端到家餐饮服务‘家宴’启动沪杭第二轮灰度测试，已接入米其林二星解香楼等12个品牌超20家门店，探索‘即时零售+品质餐饮’融合新模式。</w:t>
      </w:r>
    </w:p>
    <w:p>
      <w:r>
        <w:rPr>
          <w:rFonts w:ascii="Times New Roman" w:hAnsi="Times New Roman" w:eastAsia="宋体"/>
          <w:i/>
          <w:sz w:val="21"/>
        </w:rPr>
        <w:t>角度建议:广州是阿里本地生活华南总部所在地，可调研‘家宴’落地广州时间表；对比美团‘神抢手’、京东‘小时达’在广深高端餐饮渗透率。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消息称淘宝闪购在上海、杭州内测到家餐饮项目“家宴”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腾讯 QQ 鸿蒙版 App 获 9.2.55 邀测升级，新增空友爱看、文件中心支持查看压缩包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时间:08-11 18:44</w:t>
      </w:r>
    </w:p>
    <w:p>
      <w:r>
        <w:t>QQ鸿蒙版迎来9.2.55邀测升级，强化社交+文件管理双功能，支持压缩包直接预览，反映超级App向操作系统级服务能力演进趋势，为跨端协同提供新样本。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腾讯 QQ 鸿蒙版 App 获 9.2.55 邀测升级，新增空友爱看、文件中心支持查看压缩包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腾讯《王者荣耀》匹配机制再迎优化，“正常信誉”玩家将不会连续匹配到“负面信誉”玩家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时间:08-11 17:57</w:t>
      </w:r>
    </w:p>
    <w:p>
      <w:r>
        <w:t>《王者荣耀》推出匹配池隔离机制，避免高信誉玩家持续遭遇违规行为干扰，通过算法优化提升对局公平性与社区健康度，回应长期存在的玩家治理痛点。</w:t>
      </w:r>
    </w:p>
    <w:p>
      <w:r>
        <w:rPr>
          <w:rFonts w:ascii="Times New Roman" w:hAnsi="Times New Roman" w:eastAsia="宋体"/>
          <w:i/>
          <w:sz w:val="21"/>
        </w:rPr>
        <w:t>角度建议:广州是腾讯微信游戏生态重要枢纽，可采访羊城晚报读者俱乐部玩家社群，收集本地KPL观赛群体对匹配改革的实际体验。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腾讯《王者荣耀》匹配机制再迎优化，“正常信誉”玩家将不会连续匹配到“负面信誉”玩家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【B级·关注|本地】</w:t>
      </w:r>
      <w:r>
        <w:rPr>
          <w:rFonts w:ascii="Times New Roman" w:hAnsi="Times New Roman" w:eastAsia="黑体"/>
          <w:b/>
          <w:sz w:val="24"/>
        </w:rPr>
        <w:t>Sensor Tower：《王者荣耀》重夺冠军宝座，跃升2026年7月全球手游收入榜榜首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时间:08-11 01:12</w:t>
      </w:r>
    </w:p>
    <w:p>
      <w:r>
        <w:t>《王者荣耀》以绝对优势登顶2026年7月全球手游收入榜，凸显其在IP长线运营、赛事商业化及出海本地化方面的综合竞争力，巩固中国游戏全球化标杆地位。</w:t>
      </w:r>
    </w:p>
    <w:p>
      <w:r>
        <w:rPr>
          <w:rFonts w:ascii="Times New Roman" w:hAnsi="Times New Roman" w:eastAsia="宋体"/>
          <w:i/>
          <w:sz w:val="21"/>
        </w:rPr>
        <w:t>角度建议:突出广州作为KPL主场城市（天河体育中心）及腾讯微信总部所在地的双重优势，分析本地电竞产业（如超竞集团）如何借势反哺城市经济。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Sensor Tower：《王者荣耀》重夺冠军宝座，跃升2026年7月全球手游收入榜榜首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《王者万象棋》制作人：国民IP如何撬动策略对战赛道？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时间:08-11 10:02</w:t>
      </w:r>
    </w:p>
    <w:p>
      <w:r>
        <w:t>腾讯基于《王者荣耀》IP开发的策略新作《王者万象棋》全网预约破5000万，以轻度策略+强社交切入细分赛道，反映头部厂商对品类创新与用户分层运营的深度思考。</w:t>
      </w:r>
    </w:p>
    <w:p>
      <w:r>
        <w:rPr>
          <w:rFonts w:ascii="Times New Roman" w:hAnsi="Times New Roman" w:eastAsia="宋体"/>
          <w:i/>
          <w:sz w:val="21"/>
        </w:rPr>
        <w:t>角度建议:广州有网易、三七互娱等策略游戏重镇，可组织本地开发者圆桌，探讨‘IP衍生策略化’对湾区游戏产业格局的影响。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《王者万象棋》制作人：国民IP如何撬动策略对战赛道？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/>
          <w:color w:val="41D87E"/>
          <w:sz w:val="24"/>
        </w:rPr>
        <w:t>【A级·线索|本地】</w:t>
      </w:r>
      <w:r>
        <w:rPr>
          <w:rFonts w:ascii="Times New Roman" w:hAnsi="Times New Roman" w:eastAsia="黑体"/>
          <w:b/>
          <w:color w:val="41D87E"/>
          <w:sz w:val="24"/>
        </w:rPr>
        <w:t>格力电器今年新招毕业生 6514 人，董明珠再承诺不裁员、称自己靠好产品成为“网红”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时间:08-11 15:24</w:t>
      </w:r>
    </w:p>
    <w:p>
      <w:r>
        <w:t>格力电器2026届校招规模达6514人，董事长董明珠现场承诺‘不裁员’，强调以技术创新与产品力驱动增长，呼应国家‘以旧换新’政策下制造业稳岗扩岗的积极信号。</w:t>
      </w:r>
    </w:p>
    <w:p>
      <w:r>
        <w:rPr>
          <w:rFonts w:ascii="Times New Roman" w:hAnsi="Times New Roman" w:eastAsia="宋体"/>
          <w:i/>
          <w:sz w:val="21"/>
        </w:rPr>
        <w:t>角度建议:格力总部位于珠海（大湾区核心城市），可联动广州家电卖场（如苏宁、国美）调研以旧换新补贴落地效果及消费者偏好变化。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格力电器今年新招毕业生 6514 人，董明珠再承诺不裁员、称自己靠好产品成为“网红”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【B级·关注|本地】</w:t>
      </w:r>
      <w:r>
        <w:rPr>
          <w:rFonts w:ascii="Times New Roman" w:hAnsi="Times New Roman" w:eastAsia="黑体"/>
          <w:b/>
          <w:sz w:val="24"/>
        </w:rPr>
        <w:t>乘联分会：7 月乘用车市场呈现五大鲜明特征，纯油车近乎失速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时间:08-11 16:09</w:t>
      </w:r>
    </w:p>
    <w:p>
      <w:r>
        <w:t>乘联会指出7月车市呈现‘燃油深度降温、新能源强势领跑’特征，插混车型增速超纯电，反映消费者对补能便利性与续航焦虑的务实选择，政策驱动效应持续显现。</w:t>
      </w:r>
    </w:p>
    <w:p>
      <w:r>
        <w:rPr>
          <w:rFonts w:ascii="Times New Roman" w:hAnsi="Times New Roman" w:eastAsia="宋体"/>
          <w:i/>
          <w:sz w:val="21"/>
        </w:rPr>
        <w:t>角度建议:广州是新能源汽车推广重点城市（2026年新增充电桩超5万个），可走访天河、黄埔新能源4S店，统计本地置换补贴申领率与车型偏好。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乘联分会：7 月乘用车市场呈现五大鲜明特征，纯油车近乎失速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上汽大众傅强谈行业生锈案例：汽车防锈技术家家都有，就是想不想给用户做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时间:08-11 16:31</w:t>
      </w:r>
    </w:p>
    <w:p>
      <w:r>
        <w:t>上汽大众高管直言汽车防锈非技术难题而是诚意问题，直击行业质量信任危机，呼吁回归‘以用户为中心’本质，为当前消费复苏阶段的品牌口碑建设提供反思样本。</w:t>
      </w:r>
    </w:p>
    <w:p>
      <w:r>
        <w:rPr>
          <w:rFonts w:ascii="Times New Roman" w:hAnsi="Times New Roman" w:eastAsia="宋体"/>
          <w:i/>
          <w:sz w:val="21"/>
        </w:rPr>
        <w:t>角度建议:广州是上汽大众华南重要市场，可对比本地合资与自主车企质保政策差异，探讨‘新质生产力’语境下的制造业诚信重建路径。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上汽大众傅强谈行业生锈案例：汽车防锈技术家家都有，就是想不想给用户做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小米新国标充电宝自带线 20000 45W/67W 首销，499 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时间:08-11 18:50</w:t>
      </w:r>
    </w:p>
    <w:p>
      <w:r>
        <w:t>小米推出符合新国标认证的自带线快充充电宝，兼顾安全性与便捷性，定价499元起，契合消费者对‘一宝多用’与合规保障的双重需求，引领移动电源标准化升级。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小米新国标充电宝自带线 20000 45W/67W 首销，499 元起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iQOO Z11S 手机官宣搭载 iQOO 迄今最大 10000mAh 蓝海电池，宁德新能源联合研发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时间:08-11 16:08</w:t>
      </w:r>
    </w:p>
    <w:p>
      <w:r>
        <w:t>iQOO Z11S首发10000mAh单电芯蓝海电池，由宁德新能源联合研发，突破续航瓶颈，反映消费电子厂商与上游电池巨头深度协同趋势，满足用户‘一天一充’刚需。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iQOO Z11S 手机官宣搭载 iQOO 迄今最大 10000mAh 蓝海电池，宁德新能源联合研发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IT之家(60)、GameLook(17)、HackerNews(8)、Bing新闻(4)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0/988/453.htm" TargetMode="External"/><Relationship Id="rId10" Type="http://schemas.openxmlformats.org/officeDocument/2006/relationships/hyperlink" Target="https://www.ithome.com/0/988/431.htm" TargetMode="External"/><Relationship Id="rId11" Type="http://schemas.openxmlformats.org/officeDocument/2006/relationships/hyperlink" Target="https://www.ithome.com/0/988/416.htm" TargetMode="External"/><Relationship Id="rId12" Type="http://schemas.openxmlformats.org/officeDocument/2006/relationships/hyperlink" Target="https://www.ithome.com/0/988/454.htm" TargetMode="External"/><Relationship Id="rId13" Type="http://schemas.openxmlformats.org/officeDocument/2006/relationships/hyperlink" Target="https://www.ithome.com/0/988/380.htm" TargetMode="External"/><Relationship Id="rId14" Type="http://schemas.openxmlformats.org/officeDocument/2006/relationships/hyperlink" Target="http://www.bing.com/news/apiclick.aspx?ref=FexRss&amp;aid=&amp;tid=6a7b020608e341e78332852e3fd2b393&amp;url=https%3a%2f%2ffinance.sina.com.cn%2ftech%2fshenji%2f2026-08-11%2fdoc-inimxewt4373314.shtml&amp;c=2826946640987658870&amp;mkt=en-us" TargetMode="External"/><Relationship Id="rId15" Type="http://schemas.openxmlformats.org/officeDocument/2006/relationships/hyperlink" Target="http://www.bing.com/news/apiclick.aspx?ref=FexRss&amp;aid=&amp;tid=6a7b020608e341e78332852e3fd2b393&amp;url=https%3a%2f%2fnews.qq.com%2frain%2fa%2f20260811A091DJ00&amp;c=16568239789530251831&amp;mkt=en-us" TargetMode="External"/><Relationship Id="rId16" Type="http://schemas.openxmlformats.org/officeDocument/2006/relationships/hyperlink" Target="http://www.bing.com/news/apiclick.aspx?ref=FexRss&amp;aid=&amp;tid=6a7b020608e341e78332852e3fd2b393&amp;url=https%3a%2f%2fwww.sohu.com%2fa%2f1061219295_122066679&amp;c=14310284917438697493&amp;mkt=en-us" TargetMode="External"/><Relationship Id="rId17" Type="http://schemas.openxmlformats.org/officeDocument/2006/relationships/hyperlink" Target="https://www.ithome.com/0/988/429.htm" TargetMode="External"/><Relationship Id="rId18" Type="http://schemas.openxmlformats.org/officeDocument/2006/relationships/hyperlink" Target="https://research.meta.ai/blog/introducing-muse-glimmer-open-agentic-model" TargetMode="External"/><Relationship Id="rId19" Type="http://schemas.openxmlformats.org/officeDocument/2006/relationships/hyperlink" Target="https://www.ithome.com/0/988/396.htm" TargetMode="External"/><Relationship Id="rId20" Type="http://schemas.openxmlformats.org/officeDocument/2006/relationships/hyperlink" Target="https://www.ithome.com/0/988/327.htm" TargetMode="External"/><Relationship Id="rId21" Type="http://schemas.openxmlformats.org/officeDocument/2006/relationships/hyperlink" Target="https://www.ithome.com/0/988/459.htm" TargetMode="External"/><Relationship Id="rId22" Type="http://schemas.openxmlformats.org/officeDocument/2006/relationships/hyperlink" Target="https://www.ithome.com/0/988/358.htm" TargetMode="External"/><Relationship Id="rId23" Type="http://schemas.openxmlformats.org/officeDocument/2006/relationships/hyperlink" Target="https://www.ithome.com/0/988/375.htm" TargetMode="External"/><Relationship Id="rId24" Type="http://schemas.openxmlformats.org/officeDocument/2006/relationships/hyperlink" Target="https://www.ithome.com/0/988/360.htm" TargetMode="External"/><Relationship Id="rId25" Type="http://schemas.openxmlformats.org/officeDocument/2006/relationships/hyperlink" Target="https://www.ithome.com/0/988/447.htm" TargetMode="External"/><Relationship Id="rId26" Type="http://schemas.openxmlformats.org/officeDocument/2006/relationships/hyperlink" Target="https://www.ithome.com/0/988/357.htm" TargetMode="External"/><Relationship Id="rId27" Type="http://schemas.openxmlformats.org/officeDocument/2006/relationships/hyperlink" Target="https://www.ithome.com/0/988/424.htm" TargetMode="External"/><Relationship Id="rId28" Type="http://schemas.openxmlformats.org/officeDocument/2006/relationships/hyperlink" Target="https://www.ithome.com/0/988/350.htm" TargetMode="External"/><Relationship Id="rId29" Type="http://schemas.openxmlformats.org/officeDocument/2006/relationships/hyperlink" Target="https://www.ithome.com/0/988/456.htm" TargetMode="External"/><Relationship Id="rId30" Type="http://schemas.openxmlformats.org/officeDocument/2006/relationships/hyperlink" Target="https://www.ithome.com/0/988/433.htm" TargetMode="External"/><Relationship Id="rId31" Type="http://schemas.openxmlformats.org/officeDocument/2006/relationships/hyperlink" Target="http://www.gamelook.com.cn/2026/08/599741/" TargetMode="External"/><Relationship Id="rId32" Type="http://schemas.openxmlformats.org/officeDocument/2006/relationships/hyperlink" Target="http://www.gamelook.com.cn/2026/08/599656/" TargetMode="External"/><Relationship Id="rId33" Type="http://schemas.openxmlformats.org/officeDocument/2006/relationships/hyperlink" Target="https://www.ithome.com/0/988/329.htm" TargetMode="External"/><Relationship Id="rId34" Type="http://schemas.openxmlformats.org/officeDocument/2006/relationships/hyperlink" Target="https://www.ithome.com/0/988/364.htm" TargetMode="External"/><Relationship Id="rId35" Type="http://schemas.openxmlformats.org/officeDocument/2006/relationships/hyperlink" Target="https://www.ithome.com/0/988/373.htm" TargetMode="External"/><Relationship Id="rId36" Type="http://schemas.openxmlformats.org/officeDocument/2006/relationships/hyperlink" Target="https://www.ithome.com/0/988/458.htm" TargetMode="External"/><Relationship Id="rId37" Type="http://schemas.openxmlformats.org/officeDocument/2006/relationships/hyperlink" Target="https://www.ithome.com/0/988/363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