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2026年08月10日(周一)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生成时间:2026-08-10 18:50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小马智行全球自动驾驶里程突破 1 亿公里——广州本土企业小马智行宣布全球L4级自动驾驶测试总里程突破1亿公里，覆盖中美多城复杂城区场景；其Robotaxi在广州南沙已常态化运营三年，累计服务超百万乘客，技术可靠性获商业验证。(IT之家)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广汽集团：GOVY AirCab 飞行汽车完成超 3 个月夏测，扛住 50℃ 暴晒、狂风沙尘——广汽高域GOVY AirCab飞行汽车在甘肃民勤完成超3个月极端环境测试，成功应对50℃高温、强沙尘与高海拔挑战，为低空经济载人场景商业化奠定工程基础；该机型由广汽研究院主导研发，核心飞控系统源自广州团队。(IT之家)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2025 年全球纯电动汽车均价首次低于混动车，中国车企加速出海——日经报道显示，2025年全球纯电车均价已低于混动车型，主因电池成本下降与中国规模化制造优势；比亚迪、广汽埃安等品牌正通过中东、东南亚低价市场反哺国内‘以旧换新’补贴可持续性。(IT之家)</w:t>
      </w:r>
    </w:p>
    <w:p>
      <w:r>
        <w:rPr>
          <w:rFonts w:ascii="Times New Roman" w:hAnsi="Times New Roman" w:eastAsia="宋体"/>
          <w:b/>
          <w:sz w:val="21"/>
        </w:rPr>
        <w:t xml:space="preserve">4. </w:t>
      </w:r>
      <w:r>
        <w:rPr>
          <w:rFonts w:ascii="Times New Roman" w:hAnsi="Times New Roman" w:eastAsia="宋体"/>
          <w:sz w:val="21"/>
        </w:rPr>
        <w:t>千问开放平台上线，覆盖APP、PC、眼镜三端，支持AI智能体接入——通义千问开放平台正式上线，首次实现手机、PC与AI眼镜三端统一接入，首批合作覆盖顺丰、自如、联想乐享等十多个本地生活与产业场景，标志着大模型从‘工具’迈向‘操作系统级’智能体底座。(Bing新闻)</w:t>
      </w:r>
    </w:p>
    <w:p>
      <w:r>
        <w:rPr>
          <w:rFonts w:ascii="Times New Roman" w:hAnsi="Times New Roman" w:eastAsia="宋体"/>
          <w:b/>
          <w:sz w:val="21"/>
        </w:rPr>
        <w:t xml:space="preserve">5. </w:t>
      </w:r>
      <w:r>
        <w:rPr>
          <w:rFonts w:ascii="Times New Roman" w:hAnsi="Times New Roman" w:eastAsia="宋体"/>
          <w:sz w:val="21"/>
        </w:rPr>
        <w:t>压倒性优势，今年上半年中国厂商贡献全球超 97% 人形机器人出货量——据Smart Analytics Global数据，2026年上半年中国厂商占据全球人形机器人97%以上出货份额，优必选、宇树、达闼等头部企业加速量产交付，技术迭代与成本控制能力已形成全球代际差。(IT之家)</w:t>
      </w:r>
    </w:p>
    <w:p>
      <w:r>
        <w:rPr>
          <w:rFonts w:ascii="Times New Roman" w:hAnsi="Times New Roman" w:eastAsia="宋体"/>
          <w:b/>
          <w:sz w:val="21"/>
        </w:rPr>
        <w:t xml:space="preserve">6. </w:t>
      </w:r>
      <w:r>
        <w:rPr>
          <w:rFonts w:ascii="Times New Roman" w:hAnsi="Times New Roman" w:eastAsia="宋体"/>
          <w:sz w:val="21"/>
        </w:rPr>
        <w:t>44 岁网约车司机在充电站猝死、保险以“没在开车”拒赔，法院判决赔款 60 万元——上海闵行法院判决某保险公司向猝死网约车司机家属赔付60万元，认定司机在充电等待期间仍处于‘营运状态’，突破传统‘驾驶中’理赔边界；该案为新业态劳动者权益保障树立司法标杆。(IT之家)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千问开放平台上线，覆盖APP、PC、眼镜三端，支持AI智能体接入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时间:08-10 11:15</w:t>
      </w:r>
    </w:p>
    <w:p>
      <w:r>
        <w:t>通义千问开放平台正式上线，首次实现手机、PC与AI眼镜三端统一接入，首批合作覆盖顺丰、自如、联想乐享等十多个本地生活与产业场景，标志着大模型从‘工具’迈向‘操作系统级’智能体底座。</w:t>
      </w:r>
    </w:p>
    <w:p>
      <w:r>
        <w:rPr>
          <w:rFonts w:ascii="Times New Roman" w:hAnsi="Times New Roman" w:eastAsia="宋体"/>
          <w:i/>
          <w:sz w:val="21"/>
        </w:rPr>
        <w:t>角度建议:重点追踪广州本地合作伙伴（如顺丰华南总部、自如广州运营中心）的落地进展，突出大湾区AI应用‘最后一公里’的规模化实践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千问开放平台上线，覆盖APP、PC、眼镜三端，支持AI智能体接入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零一万物大模型开放平台将逐步停止面向用户提供在线体验、API 调用及充值等相关服务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17:29</w:t>
      </w:r>
    </w:p>
    <w:p>
      <w:r>
        <w:t>零一万物（01.AI）宣布因聚焦企业级AI解决方案，将于近期关停面向公众的开放平台服务，包括在线体验、API调用与充值功能。此举标志国产大模型厂商加速商业化转型，从普惠开放转向B端深度赋能。</w:t>
      </w:r>
    </w:p>
    <w:p>
      <w:r>
        <w:rPr>
          <w:rFonts w:ascii="Times New Roman" w:hAnsi="Times New Roman" w:eastAsia="宋体"/>
          <w:i/>
          <w:sz w:val="21"/>
        </w:rPr>
        <w:t>角度建议:可对比百川、智谱等平台策略，探讨大模型‘去C端化’趋势对开发者生态与中小企业AI落地成本的影响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零一万物大模型开放平台将逐步停止面向用户提供在线体验、API 调用及充值等相关服务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AI 大模型周榜：阿里 qwen3.8-max 冲进综合榜 Top 6，国产多模型表现亮眼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17:02</w:t>
      </w:r>
    </w:p>
    <w:p>
      <w:r>
        <w:t>Arena平台最新盲测显示，阿里Qwen3.8-max跻身全球大模型综合榜Top6，国产模型集体上位；榜单反映中文理解、多模态与推理能力持续突破，国产模型已形成技术迭代快、场景适配强的竞争优势。</w:t>
      </w:r>
    </w:p>
    <w:p>
      <w:r>
        <w:rPr>
          <w:rFonts w:ascii="Times New Roman" w:hAnsi="Times New Roman" w:eastAsia="宋体"/>
          <w:i/>
          <w:sz w:val="21"/>
        </w:rPr>
        <w:t>角度建议:结合广州人工智能公共算力中心、琶洲试验区建设，挖掘广东高校与企业（如华为云、腾讯混元）在模型微调与行业垂类落地的最新案例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AI 大模型周榜：阿里 qwen3.8-max 冲进综合榜 Top 6，国产多模型表现亮眼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AI眼镜进入「影像」赛场的背后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时间:08-10 02:31</w:t>
      </w:r>
    </w:p>
    <w:p>
      <w:r>
        <w:t>2026中国野生生物影像年赛首次引入AI眼镜作为官方拍摄设备，骁龙提供端侧AI算力支持；赛事验证轻量化AR设备在专业影像采集中的可行性，推动‘所见即所得’创作范式变革。</w:t>
      </w:r>
    </w:p>
    <w:p>
      <w:r>
        <w:rPr>
          <w:rFonts w:ascii="Times New Roman" w:hAnsi="Times New Roman" w:eastAsia="宋体"/>
          <w:i/>
          <w:sz w:val="21"/>
        </w:rPr>
        <w:t>角度建议:联系广州长隆、南沙湿地等自然教育基地，策划‘AI眼镜拍湾区’主题采风活动，展示技术赋能生态文明传播的在地化实践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AI眼镜进入「影像」赛场的背后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消息称阿里云今年计划将模块化数据中心全球产能提升两倍以上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16:47</w:t>
      </w:r>
    </w:p>
    <w:p>
      <w:r>
        <w:t>阿里云基于全模块化设计架构，将AIDC交付周期压缩至100天（传统需6-18个月），并计划年内全球产能翻两倍以上；此举支撑大模型训练算力爆发需求，加速AI基础设施‘即插即用’普及。</w:t>
      </w:r>
    </w:p>
    <w:p>
      <w:r>
        <w:rPr>
          <w:rFonts w:ascii="Times New Roman" w:hAnsi="Times New Roman" w:eastAsia="宋体"/>
          <w:i/>
          <w:sz w:val="21"/>
        </w:rPr>
        <w:t>角度建议:对接广州南沙国际数据自贸港项目，报道阿里云华南节点在金融、政务大模型训练中的定制化交付案例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消息称阿里云今年计划将模块化数据中心全球产能提升两倍以上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通用百万比特光量子计算迎来可行路径，合肥硅臻芯片等发布片上 MBQC 技术突破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16:25</w:t>
      </w:r>
    </w:p>
    <w:p>
      <w:r>
        <w:t>合肥硅臻联合中科大实现百万比特光量子计算关键突破，依托自研可编程硅光芯片验证MBQC（测量基量子计算）架构可行性；该成果为实用化通用量子计算机提供新路径，摆脱超低温依赖。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通用百万比特光量子计算迎来可行路径，合肥硅臻芯片等发布片上 MBQC 技术突破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压倒性优势，今年上半年中国厂商贡献全球超 97% 人形机器人出货量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18:06</w:t>
      </w:r>
    </w:p>
    <w:p>
      <w:r>
        <w:t>据Smart Analytics Global数据，2026年上半年中国厂商占据全球人形机器人97%以上出货份额，优必选、宇树、达闼等头部企业加速量产交付，技术迭代与成本控制能力已形成全球代际差。</w:t>
      </w:r>
    </w:p>
    <w:p>
      <w:r>
        <w:rPr>
          <w:rFonts w:ascii="Times New Roman" w:hAnsi="Times New Roman" w:eastAsia="宋体"/>
          <w:i/>
          <w:sz w:val="21"/>
        </w:rPr>
        <w:t>角度建议:联动广州黄埔区‘具身智能产业园’、深圳南山机器人集聚区，采访粤企出海订单（如优必选Walker X海外交付）、核心零部件（谐波减速器、无框电机）国产替代进展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压倒性优势，今年上半年中国厂商贡献全球超 97% 人形机器人出货量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VAIO 全球率先为 PC 导入血管与心率测量支持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18:09</w:t>
      </w:r>
    </w:p>
    <w:p>
      <w:r>
        <w:t>日本VAIO发布全球首款集成血管与心率光学传感的商用笔记本SX14-R，通过屏幕边框传感器实现非接触式生理监测，开辟AI PC健康交互新赛道，技术方案具备向医疗可穿戴设备迁移潜力。</w:t>
      </w:r>
    </w:p>
    <w:p>
      <w:r>
        <w:rPr>
          <w:rFonts w:ascii="Times New Roman" w:hAnsi="Times New Roman" w:eastAsia="宋体"/>
          <w:i/>
          <w:sz w:val="21"/>
        </w:rPr>
        <w:t>角度建议:对比广州视源股份（CVTE）在教育/会议平板中嵌入健康传感的探索，分析大湾区硬件厂商在‘AI+健康’融合创新中的差异化路径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VAIO 全球率先为 PC 导入血管与心率测量支持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理想汽车：第二代理想 AI 眼镜 Livis 预计明年下半年到来，正和蔡司评估镜片内显示技术方案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18:12</w:t>
      </w:r>
    </w:p>
    <w:p>
      <w:r>
        <w:t>理想汽车确认第二代AI眼镜Livis将于2027年下半年发布，正与蔡司联合攻关镜片内嵌显示技术；该产品将强化AR导航与车载生态联动，延续其‘AI硬件即服务’战略，拓展智能座舱外延场景。</w:t>
      </w:r>
    </w:p>
    <w:p>
      <w:r>
        <w:rPr>
          <w:rFonts w:ascii="Times New Roman" w:hAnsi="Times New Roman" w:eastAsia="宋体"/>
          <w:i/>
          <w:sz w:val="21"/>
        </w:rPr>
        <w:t>角度建议:关注广州AR产业链（如影石Insta360光学模组供应商），预判Livis二代对粤港澳大湾区光学精密制造企业的订单拉动效应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理想汽车：第二代理想 AI 眼镜 Livis 预计明年下半年到来，正和蔡司评估镜片内显示技术方案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真知创投与BAI资本联合入局，前小米穿戴专家打造全场景独立AI硬件ACTRA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时间:08-10 01:21</w:t>
      </w:r>
    </w:p>
    <w:p>
      <w:r>
        <w:t>由前小米穿戴核心成员创立的ACTRA获真知创投与BAI资本联合投资，专注全场景AI硬件研发；其首款产品瞄准办公、教育与健康三大垂直领域，强调端侧大模型与多模态交互融合，填补国产AI终端空白。</w:t>
      </w:r>
    </w:p>
    <w:p>
      <w:r>
        <w:rPr>
          <w:rFonts w:ascii="Times New Roman" w:hAnsi="Times New Roman" w:eastAsia="宋体"/>
          <w:i/>
          <w:sz w:val="21"/>
        </w:rPr>
        <w:t>角度建议:核查团队是否在广州设有研发中心，挖掘其与中山大学人机交互实验室、广工大智能装备研究院的技术合作线索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真知创投与BAI资本联合入局，前小米穿戴专家打造全场景独立AI硬件ACTRA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小马智行全球自动驾驶里程突破 1 亿公里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15:30</w:t>
      </w:r>
    </w:p>
    <w:p>
      <w:r>
        <w:t>广州本土企业小马智行宣布全球L4级自动驾驶测试总里程突破1亿公里，覆盖中美多城复杂城区场景；其Robotaxi在广州南沙已常态化运营三年，累计服务超百万乘客，技术可靠性获商业验证。</w:t>
      </w:r>
    </w:p>
    <w:p>
      <w:r>
        <w:rPr>
          <w:rFonts w:ascii="Times New Roman" w:hAnsi="Times New Roman" w:eastAsia="宋体"/>
          <w:i/>
          <w:sz w:val="21"/>
        </w:rPr>
        <w:t>角度建议:深挖南沙‘全无人驾驶商业化试点’政策突破与用户画像（如老年群体高频使用），呈现大湾区智能网联汽车从‘技术领先’到‘民生普惠’的转化样本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小马智行全球自动驾驶里程突破 1 亿公里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广汽集团：GOVY AirCab 飞行汽车完成超 3 个月夏测，扛住 50℃ 暴晒、狂风沙尘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17:27</w:t>
      </w:r>
    </w:p>
    <w:p>
      <w:r>
        <w:t>广汽高域GOVY AirCab飞行汽车在甘肃民勤完成超3个月极端环境测试，成功应对50℃高温、强沙尘与高海拔挑战，为低空经济载人场景商业化奠定工程基础；该机型由广汽研究院主导研发，核心飞控系统源自广州团队。</w:t>
      </w:r>
    </w:p>
    <w:p>
      <w:r>
        <w:rPr>
          <w:rFonts w:ascii="Times New Roman" w:hAnsi="Times New Roman" w:eastAsia="宋体"/>
          <w:i/>
          <w:sz w:val="21"/>
        </w:rPr>
        <w:t>角度建议:紧扣广东省低空经济高质量发展三年行动方案，专访广汽研发团队，解析‘广州造’eVTOL在适航认证、空域协同、起降场基建等卡点攻坚进展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广汽集团：GOVY AirCab 飞行汽车完成超 3 个月夏测，扛住 50℃ 暴晒、狂风沙尘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司机仅需为实际驻车时间付费：NEC 将在日测试停车场新计费模式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17:54</w:t>
      </w:r>
    </w:p>
    <w:p>
      <w:r>
        <w:t>NEC联合UrbanChain开发基于AI图像识别的精准停车计费系统，通过车位级视觉检测剔除寻位时间，实现‘按停时长’收费；该技术已在东京试点，有望缓解城市核心区停车效率痛点。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司机仅需为实际驻车时间付费：NEC 将在日测试停车场新计费模式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 FCC 试图扩大无人机禁令，封禁此前已获批的激光雷达无人机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16:29</w:t>
      </w:r>
    </w:p>
    <w:p>
      <w:r>
        <w:t>美国FCC拟扩大无人机禁令，将热成像、LiDAR及气体传感无人机列入禁售名单，引发行业对技术安全与贸易壁垒的担忧；此举或加速中国厂商转向农业植保、电力巡检等合规B端场景。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美国 FCC 试图扩大无人机禁令，封禁此前已获批的激光雷达无人机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数字车钥匙新增适配上汽大众，已支持 ID.ERA 9X/8X/5S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16:17</w:t>
      </w:r>
    </w:p>
    <w:p>
      <w:r>
        <w:t>vivo OriginOS数字车钥匙扩展至上汽大众ID.ERA系列三款车型，实现手机NFC无感解锁/启动；该功能已覆盖比亚迪、小鹏、蔚来等20+品牌，成为国产手机与车企‘生态互认’的标配能力。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vivo 数字车钥匙新增适配上汽大众，已支持 ID.ERA 9X/8X/5S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综合扣费 12%，消息称豆包渠道的酒店订单今日起开始执行独立费率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16:08</w:t>
      </w:r>
    </w:p>
    <w:p>
      <w:r>
        <w:t>抖音旗下豆包平台对酒店订单启动独立费率体系（软件服务费11.4%+支付手续费0.6%），较传统OTA佣金高出约3-5个百分点；此举或倒逼中小酒店加速私域运营，重塑本地生活平台分润逻辑。</w:t>
      </w:r>
    </w:p>
    <w:p>
      <w:r>
        <w:rPr>
          <w:rFonts w:ascii="Times New Roman" w:hAnsi="Times New Roman" w:eastAsia="宋体"/>
          <w:i/>
          <w:sz w:val="21"/>
        </w:rPr>
        <w:t>角度建议:调研广州本地连锁酒店（如岭南控股旗下品牌）在抖音来客与美团双渠道的ROI对比，揭示平台费率变化对区域文旅消费链路的影响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综合扣费 12%，消息称豆包渠道的酒店订单今日起开始执行独立费率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极兔速递被国家邮政局罚款 7 万元，未按规定履行安全保障统一管理责任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17:09</w:t>
      </w:r>
    </w:p>
    <w:p>
      <w:r>
        <w:t>极兔速递因未落实加盟网点安全统一管理，被国家邮政局处以7万元罚款；事件暴露快递行业高速扩张下末端管控漏洞，监管正从‘价格战’转向‘安全合规’深度治理。</w:t>
      </w:r>
    </w:p>
    <w:p>
      <w:r>
        <w:rPr>
          <w:rFonts w:ascii="Times New Roman" w:hAnsi="Times New Roman" w:eastAsia="宋体"/>
          <w:i/>
          <w:sz w:val="21"/>
        </w:rPr>
        <w:t>角度建议:聚焦广州白云、花都等快递枢纽园区，调查极兔华南转运中心整改情况，关联分析‘以旧换新’家电物流中冷链与大件配送的安全标准升级需求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极兔速递被国家邮政局罚款 7 万元，未按规定履行安全保障统一管理责任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微信鸿蒙版 App 获 8.0.20.47 正式版升级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17:18</w:t>
      </w:r>
    </w:p>
    <w:p>
      <w:r>
        <w:t>微信鸿蒙版更新至8.0.20.47版本，新增聊天笔记收藏、视频号弹幕互动等功能；作为鸿蒙生态关键入口，此次升级强化跨设备协同体验，为‘鸿蒙+微信’在即时零售、社区团购等场景深度融合铺路。</w:t>
      </w:r>
    </w:p>
    <w:p>
      <w:r>
        <w:rPr>
          <w:rFonts w:ascii="Times New Roman" w:hAnsi="Times New Roman" w:eastAsia="宋体"/>
          <w:i/>
          <w:sz w:val="21"/>
        </w:rPr>
        <w:t>角度建议:跟踪广州本地商家（如钱大妈、朴朴超市）在鸿蒙版微信小程序中的履约优化案例，展现操作系统级生态对区域消费数字化的赋能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微信鸿蒙版 App 获 8.0.20.47 正式版升级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创办 64 年来首次，今年大众电影百花奖设立 AIGC 单元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15:18</w:t>
      </w:r>
    </w:p>
    <w:p>
      <w:r>
        <w:t>第38届大众电影百花奖首设AIGC影像推优单元，一个月内征集作品超千部，涵盖AI生成短片、虚拟制片与人机协作叙事；此举标志主流影视评价体系正式接纳生成式技术作为创作生产力。</w:t>
      </w:r>
    </w:p>
    <w:p>
      <w:r>
        <w:rPr>
          <w:rFonts w:ascii="Times New Roman" w:hAnsi="Times New Roman" w:eastAsia="宋体"/>
          <w:i/>
          <w:sz w:val="21"/>
        </w:rPr>
        <w:t>角度建议:联动广州动漫节、珠海横琴国际光影艺术节，报道大湾区AIGC内容创作者（如广州美术学院师生团队）参赛作品及版权确权实践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创办 64 年来首次，今年大众电影百花奖设立 AIGC 单元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全网预约5000万、定档9月，王者IP新作又炸场了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时间:08-10 06:45</w:t>
      </w:r>
    </w:p>
    <w:p>
      <w:r>
        <w:t>腾讯《王者荣耀》IP新游《王者万象棋》官宣定档9月，全网预约量破5000万；作为融合策略对战与IP世界观的创新形态，该游戏由天美L1工作室研发，承载腾讯在AI驱动游戏工业化上的关键验证。</w:t>
      </w:r>
    </w:p>
    <w:p>
      <w:r>
        <w:rPr>
          <w:rFonts w:ascii="Times New Roman" w:hAnsi="Times New Roman" w:eastAsia="宋体"/>
          <w:i/>
          <w:sz w:val="21"/>
        </w:rPr>
        <w:t>角度建议:采访广州天美工作室（位于天河智慧城）核心成员，解读‘AI NPC行为树优化’‘跨平台实时渲染’等技术在广州研发基地的落地细节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全网预约5000万、定档9月，王者IP新作又炸场了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杨奇：《黑神话：钟馗》设计和资产阶段会远离 AI 生成式内容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14:45</w:t>
      </w:r>
    </w:p>
    <w:p>
      <w:r>
        <w:t>游戏科学美术总监杨奇明确表示，《黑神话：钟馗》在核心美术设计与资产制作阶段将规避AI生成内容，坚持人工精绘与传统文化考据；强调‘人本创作’在国风IP构建中的不可替代性。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杨奇：《黑神话：钟馗》设计和资产阶段会远离 AI 生成式内容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DeepSeek真在招聘游戏开发！游戏引擎公司老板吐槽：“为何都想做游戏”？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时间:08-10 09:48</w:t>
      </w:r>
    </w:p>
    <w:p>
      <w:r>
        <w:t>AGI公司DeepSeek高调招募游戏开发人才，引发行业对‘AI公司下场做游戏’的热议；背后折射出游戏作为AI技术最佳训练场与商业化出口的战略价值，也暴露当前AGI落地场景的现实瓶颈。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DeepSeek真在招聘游戏开发！游戏引擎公司老板吐槽：“为何都想做游戏”？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Sensor Tower：点点互动三款游戏会师收入榜Top5，《绝区零》二周年推动海外收入大幅增长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时间:08-10 01:39</w:t>
      </w:r>
    </w:p>
    <w:p>
      <w:r>
        <w:t>Sensor Tower数据显示，点点互动旗下《绝区零》《晶核》《圣斗士星矢》包揽7月出海手游收入榜Top5，其中《绝区零》二周年活动带动海外收入环比增长120%；国创二次元品类全球化势能强劲。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Sensor Tower：点点互动三款游戏会师收入榜Top5，《绝区零》二周年推动海外收入大幅增长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2025 年全球纯电动汽车均价首次低于混动车，中国车企加速出海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17:29</w:t>
      </w:r>
    </w:p>
    <w:p>
      <w:r>
        <w:t>日经报道显示，2025年全球纯电车均价已低于混动车型，主因电池成本下降与中国规模化制造优势；比亚迪、广汽埃安等品牌正通过中东、东南亚低价市场反哺国内‘以旧换新’补贴可持续性。</w:t>
      </w:r>
    </w:p>
    <w:p>
      <w:r>
        <w:rPr>
          <w:rFonts w:ascii="Times New Roman" w:hAnsi="Times New Roman" w:eastAsia="宋体"/>
          <w:i/>
          <w:sz w:val="21"/>
        </w:rPr>
        <w:t>角度建议:聚焦广州新能源汽车以旧换新政策细则（如叠加国补+地方补贴最高2万元），测算广汽传祺、埃安车主置换周期与二手车残值变化，呈现政策杠杆撬动消费的真实图景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2025 年全球纯电动汽车均价首次低于混动车，中国车企加速出海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44 岁网约车司机在充电站猝死、保险以“没在开车”拒赔，法院判决赔款 60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15:22</w:t>
      </w:r>
    </w:p>
    <w:p>
      <w:r>
        <w:t>上海闵行法院判决某保险公司向猝死网约车司机家属赔付60万元，认定司机在充电等待期间仍处于‘营运状态’，突破传统‘驾驶中’理赔边界；该案为新业态劳动者权益保障树立司法标杆。</w:t>
      </w:r>
    </w:p>
    <w:p>
      <w:r>
        <w:rPr>
          <w:rFonts w:ascii="Times New Roman" w:hAnsi="Times New Roman" w:eastAsia="宋体"/>
          <w:i/>
          <w:sz w:val="21"/>
        </w:rPr>
        <w:t>角度建议:延伸至广州网约车司机群体（如滴滴、如祺出行），调研粤版‘新就业形态职业伤害保障试点’参保率与理赔实操难点，推动政策落地堵点曝光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44 岁网约车司机在充电站猝死、保险以“没在开车”拒赔，法院判决赔款 60 万元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比亚迪“海獭”Racco 上市两周订单破千，刷新品牌在日本最快订单纪录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16:01</w:t>
      </w:r>
    </w:p>
    <w:p>
      <w:r>
        <w:t>比亚迪日本法人宣布纯电轻型车‘海獭’Racco上市两周订单破千，创品牌在日最快纪录；该车型定位K-Car细分市场，以性价比与本地化服务（含日语语音助手）赢得消费者，印证中国智造出海新范式。</w:t>
      </w:r>
    </w:p>
    <w:p>
      <w:r>
        <w:rPr>
          <w:rFonts w:ascii="Times New Roman" w:hAnsi="Times New Roman" w:eastAsia="宋体"/>
          <w:i/>
          <w:sz w:val="21"/>
        </w:rPr>
        <w:t>角度建议:对比广汽埃安在日本试水策略，分析大湾区车企如何通过‘小车型+快迭代+强本地化’突破成熟市场壁垒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比亚迪“海獭”Racco 上市两周订单破千，刷新品牌在日本最快订单纪录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九号公司 2026 年半年度归母净利润 10.08 亿元，同比下降 18.79%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18:20</w:t>
      </w:r>
    </w:p>
    <w:p>
      <w:r>
        <w:t>九号公司2026年上半年净利润同比下滑18.79%，营收增长22%但毛利率承压；电动平衡车与滑板车业务增速放缓，而割草机器人、配送机器人等新业务占比提升，反映企业从消费电子向服务机器人转型阵痛。</w:t>
      </w:r>
    </w:p>
    <w:p>
      <w:r>
        <w:rPr>
          <w:rFonts w:ascii="Times New Roman" w:hAnsi="Times New Roman" w:eastAsia="宋体"/>
          <w:i/>
          <w:sz w:val="21"/>
        </w:rPr>
        <w:t>角度建议:对比广州本土企业（如云鲸、追觅）在清洁机器人赛道的盈利模型，分析九号在大湾区供应链协同与出海渠道中的差异化优势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九号公司 2026 年半年度归母净利润 10.08 亿元，同比下降 18.79%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多位经销商人士证实：雪佛兰已暂停在华新车销售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15:29</w:t>
      </w:r>
    </w:p>
    <w:p>
      <w:r>
        <w:t>雪佛兰品牌在中国市场已暂停新车销售，通用中国确认将资源聚焦凯迪拉克与别克；此举反映外资品牌在电动化转型迟滞背景下，主动收缩非核心业务，为国产品牌腾挪市场空间。</w:t>
      </w:r>
    </w:p>
    <w:p>
      <w:r>
        <w:rPr>
          <w:rFonts w:ascii="Times New Roman" w:hAnsi="Times New Roman" w:eastAsia="宋体"/>
          <w:i/>
          <w:sz w:val="21"/>
        </w:rPr>
        <w:t>角度建议:走访广州雪佛兰授权经销商（如天河店），记录库存消化与售后维保现状，对比广汽本田、东风日产在粤销量韧性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多位经销商人士证实：雪佛兰已暂停在华新车销售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上汽奥迪 E5 Sportback 星钻特别版涂装发布，新老用户选装限时 988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时间:08-10 18:29</w:t>
      </w:r>
    </w:p>
    <w:p>
      <w:r>
        <w:t>上汽奥迪推出E5 Sportback星钻特别版选装包，限时价988元（原价2988元），主打个性化外观定制；此举响应年轻用户‘轻改装’需求，是豪华品牌下沉至主流消费市场的典型营销策略。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上汽奥迪 E5 Sportback 星钻特别版涂装发布，新老用户选装限时 988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IT之家(60)、GameLook(9)、HackerNews(7)、Bing新闻(7)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bing.com/news/apiclick.aspx?ref=FexRss&amp;aid=&amp;tid=6a79acea7e0b4040909a0d3aa79653d0&amp;url=https%3a%2f%2fnews.ifeng.com%2fc%2f8vTHxBZ4VsU&amp;c=7898249375067862830&amp;mkt=en-us" TargetMode="External"/><Relationship Id="rId10" Type="http://schemas.openxmlformats.org/officeDocument/2006/relationships/hyperlink" Target="https://www.ithome.com/0/987/951.htm" TargetMode="External"/><Relationship Id="rId11" Type="http://schemas.openxmlformats.org/officeDocument/2006/relationships/hyperlink" Target="https://www.ithome.com/0/987/938.htm" TargetMode="External"/><Relationship Id="rId12" Type="http://schemas.openxmlformats.org/officeDocument/2006/relationships/hyperlink" Target="http://www.bing.com/news/apiclick.aspx?ref=FexRss&amp;aid=&amp;tid=6a79acea7e0b4040909a0d3aa79653d0&amp;url=https%3a%2f%2fnews.qq.com%2frain%2fa%2f20260810A07RJD00&amp;c=3670643986224826161&amp;mkt=en-us" TargetMode="External"/><Relationship Id="rId13" Type="http://schemas.openxmlformats.org/officeDocument/2006/relationships/hyperlink" Target="https://www.ithome.com/0/987/924.htm" TargetMode="External"/><Relationship Id="rId14" Type="http://schemas.openxmlformats.org/officeDocument/2006/relationships/hyperlink" Target="https://www.ithome.com/0/987/915.htm" TargetMode="External"/><Relationship Id="rId15" Type="http://schemas.openxmlformats.org/officeDocument/2006/relationships/hyperlink" Target="https://www.ithome.com/0/987/989.htm" TargetMode="External"/><Relationship Id="rId16" Type="http://schemas.openxmlformats.org/officeDocument/2006/relationships/hyperlink" Target="https://www.ithome.com/0/987/992.htm" TargetMode="External"/><Relationship Id="rId17" Type="http://schemas.openxmlformats.org/officeDocument/2006/relationships/hyperlink" Target="https://www.ithome.com/0/987/994.htm" TargetMode="External"/><Relationship Id="rId18" Type="http://schemas.openxmlformats.org/officeDocument/2006/relationships/hyperlink" Target="http://www.bing.com/news/apiclick.aspx?ref=FexRss&amp;aid=&amp;tid=6a79acea7e0b4040909a0d3aa79653d0&amp;url=https%3a%2f%2fwww.36kr.com%2fp%2f3933380343200903&amp;c=14903921256401432813&amp;mkt=en-us" TargetMode="External"/><Relationship Id="rId19" Type="http://schemas.openxmlformats.org/officeDocument/2006/relationships/hyperlink" Target="https://www.ithome.com/0/987/881.htm" TargetMode="External"/><Relationship Id="rId20" Type="http://schemas.openxmlformats.org/officeDocument/2006/relationships/hyperlink" Target="https://www.ithome.com/0/987/950.htm" TargetMode="External"/><Relationship Id="rId21" Type="http://schemas.openxmlformats.org/officeDocument/2006/relationships/hyperlink" Target="https://www.ithome.com/0/987/967.htm" TargetMode="External"/><Relationship Id="rId22" Type="http://schemas.openxmlformats.org/officeDocument/2006/relationships/hyperlink" Target="https://www.ithome.com/0/987/920.htm" TargetMode="External"/><Relationship Id="rId23" Type="http://schemas.openxmlformats.org/officeDocument/2006/relationships/hyperlink" Target="https://www.ithome.com/0/987/910.htm" TargetMode="External"/><Relationship Id="rId24" Type="http://schemas.openxmlformats.org/officeDocument/2006/relationships/hyperlink" Target="https://www.ithome.com/0/987/903.htm" TargetMode="External"/><Relationship Id="rId25" Type="http://schemas.openxmlformats.org/officeDocument/2006/relationships/hyperlink" Target="https://www.ithome.com/0/987/946.htm" TargetMode="External"/><Relationship Id="rId26" Type="http://schemas.openxmlformats.org/officeDocument/2006/relationships/hyperlink" Target="https://www.ithome.com/0/987/949.htm" TargetMode="External"/><Relationship Id="rId27" Type="http://schemas.openxmlformats.org/officeDocument/2006/relationships/hyperlink" Target="https://www.ithome.com/0/987/864.htm" TargetMode="External"/><Relationship Id="rId28" Type="http://schemas.openxmlformats.org/officeDocument/2006/relationships/hyperlink" Target="http://www.gamelook.com.cn/2026/08/599490/" TargetMode="External"/><Relationship Id="rId29" Type="http://schemas.openxmlformats.org/officeDocument/2006/relationships/hyperlink" Target="https://www.ithome.com/0/987/841.htm" TargetMode="External"/><Relationship Id="rId30" Type="http://schemas.openxmlformats.org/officeDocument/2006/relationships/hyperlink" Target="http://www.gamelook.com.cn/2026/08/599566/" TargetMode="External"/><Relationship Id="rId31" Type="http://schemas.openxmlformats.org/officeDocument/2006/relationships/hyperlink" Target="http://www.gamelook.com.cn/2026/08/599626/" TargetMode="External"/><Relationship Id="rId32" Type="http://schemas.openxmlformats.org/officeDocument/2006/relationships/hyperlink" Target="https://www.ithome.com/0/987/952.htm" TargetMode="External"/><Relationship Id="rId33" Type="http://schemas.openxmlformats.org/officeDocument/2006/relationships/hyperlink" Target="https://www.ithome.com/0/987/865.htm" TargetMode="External"/><Relationship Id="rId34" Type="http://schemas.openxmlformats.org/officeDocument/2006/relationships/hyperlink" Target="https://www.ithome.com/0/987/900.htm" TargetMode="External"/><Relationship Id="rId35" Type="http://schemas.openxmlformats.org/officeDocument/2006/relationships/hyperlink" Target="https://www.ithome.com/0/987/997.htm" TargetMode="External"/><Relationship Id="rId36" Type="http://schemas.openxmlformats.org/officeDocument/2006/relationships/hyperlink" Target="https://www.ithome.com/0/987/877.htm" TargetMode="External"/><Relationship Id="rId37" Type="http://schemas.openxmlformats.org/officeDocument/2006/relationships/hyperlink" Target="https://www.ithome.com/0/987/99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