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eastAsia="PingFang SC"/>
          <w:color w:val="000000"/>
        </w:rPr>
        <w:t>WindGroove Week 2 Website Change Guide</w:t>
      </w:r>
    </w:p>
    <w:p>
      <w:pPr>
        <w:keepNext w:val="0"/>
        <w:spacing w:after="100"/>
      </w:pPr>
      <w:r>
        <w:rPr>
          <w:b w:val="0"/>
          <w:sz w:val="18"/>
        </w:rPr>
        <w:t>W05–W08  ·  October 27, 2026</w:t>
      </w:r>
    </w:p>
    <w:p>
      <w:pPr>
        <w:keepNext w:val="0"/>
        <w:spacing w:after="100"/>
      </w:pPr>
      <w:r>
        <w:rPr>
          <w:b w:val="0"/>
          <w:sz w:val="20"/>
        </w:rPr>
        <w:t>Update the main light output, frequency response and noise first. Complete the remaining changes once Product confirms dimensions, power ratings and test evidence.</w:t>
      </w:r>
    </w:p>
    <w:p>
      <w:pPr>
        <w:pStyle w:val="Heading1"/>
      </w:pPr>
      <w:r>
        <w:rPr>
          <w:rFonts w:ascii="Arial" w:hAnsi="Arial" w:eastAsia="PingFang SC"/>
          <w:color w:val="000000"/>
        </w:rPr>
        <w:t>W05 Align specifications and correct main light output</w:t>
      </w:r>
    </w:p>
    <w:p>
      <w:pPr>
        <w:keepNext w:val="0"/>
        <w:spacing w:after="100"/>
      </w:pPr>
      <w:r>
        <w:rPr>
          <w:b w:val="0"/>
          <w:sz w:val="20"/>
        </w:rPr>
        <w:t xml:space="preserve">Location: Product page → Tech Specs → Airflow and Lighting; manual page 11.  </w:t>
      </w:r>
      <w:hyperlink r:id="rId9">
        <w:r>
          <w:rPr>
            <w:color w:val="205D91"/>
            <w:u w:val="single"/>
          </w:rPr>
          <w:t>Open product page</w:t>
        </w:r>
      </w:hyperlink>
    </w:p>
    <w:p>
      <w:pPr>
        <w:keepNext/>
        <w:spacing w:line="240" w:lineRule="auto" w:before="120" w:after="120"/>
        <w:jc w:val="center"/>
      </w:pPr>
      <w:r>
        <w:drawing>
          <wp:inline xmlns:a="http://schemas.openxmlformats.org/drawingml/2006/main" xmlns:pic="http://schemas.openxmlformats.org/drawingml/2006/picture">
            <wp:extent cx="5897880" cy="3132285"/>
            <wp:docPr id="1" name="Picture 1" descr="Figure 1. Edit locations illustrated from website screenshots. Values shown are the current values before editing."/>
            <wp:cNvGraphicFramePr>
              <a:graphicFrameLocks noChangeAspect="1"/>
            </wp:cNvGraphicFramePr>
            <a:graphic>
              <a:graphicData uri="http://schemas.openxmlformats.org/drawingml/2006/picture">
                <pic:pic>
                  <pic:nvPicPr>
                    <pic:cNvPr id="0" name="W05_Edit_Locations_EN.png"/>
                    <pic:cNvPicPr/>
                  </pic:nvPicPr>
                  <pic:blipFill>
                    <a:blip r:embed="rId10"/>
                    <a:stretch>
                      <a:fillRect/>
                    </a:stretch>
                  </pic:blipFill>
                  <pic:spPr>
                    <a:xfrm>
                      <a:off x="0" y="0"/>
                      <a:ext cx="5897880" cy="3132285"/>
                    </a:xfrm>
                    <a:prstGeom prst="rect"/>
                  </pic:spPr>
                </pic:pic>
              </a:graphicData>
            </a:graphic>
          </wp:inline>
        </w:drawing>
      </w:r>
    </w:p>
    <w:p>
      <w:pPr>
        <w:keepNext w:val="0"/>
        <w:spacing w:after="80"/>
      </w:pPr>
      <w:r>
        <w:rPr>
          <w:b w:val="0"/>
          <w:color w:val="596673"/>
          <w:sz w:val="17"/>
        </w:rPr>
        <w:t>Figure 1. Edit locations illustrated from website screenshots. Values shown are the current values before editing.</w:t>
      </w:r>
    </w:p>
    <w:p>
      <w:pPr>
        <w:pStyle w:val="Heading2"/>
      </w:pPr>
      <w:r>
        <w:rPr>
          <w:rFonts w:ascii="Arial" w:hAnsi="Arial" w:eastAsia="PingFang SC"/>
          <w:color w:val="000000"/>
        </w:rPr>
        <w:t>A Main light copy ready to update</w:t>
      </w:r>
    </w:p>
    <w:p>
      <w:pPr>
        <w:keepNext w:val="0"/>
        <w:spacing w:after="100"/>
      </w:pPr>
      <w:r>
        <w:rPr>
          <w:b w:val="0"/>
        </w:rPr>
        <w:t>Expand Lighting. Keep Main light output in the left column and replace the right column with the three lines below. 850 lm is the output with the diffuser; 2000 lm is the bare light output.</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7013"/>
      </w:tblGrid>
      <w:tr>
        <w:trPr>
          <w:cantSplit/>
          <w:tblHeader/>
        </w:trPr>
        <w:tc>
          <w:tcPr>
            <w:tcW w:type="dxa" w:w="3024"/>
            <w:vAlign w:val="center"/>
            <w:tcMar>
              <w:top w:w="70" w:type="dxa"/>
              <w:bottom w:w="70" w:type="dxa"/>
              <w:left w:w="100" w:type="dxa"/>
              <w:right w:w="100" w:type="dxa"/>
            </w:tcMar>
            <w:shd w:fill="E6EDF3"/>
          </w:tcPr>
          <w:p>
            <w:pPr>
              <w:spacing w:after="0" w:line="259" w:lineRule="auto"/>
            </w:pPr>
            <w:r>
              <w:rPr>
                <w:b/>
                <w:sz w:val="20"/>
              </w:rPr>
              <w:t>Keep this field</w:t>
            </w:r>
          </w:p>
        </w:tc>
        <w:tc>
          <w:tcPr>
            <w:tcW w:type="dxa" w:w="7013"/>
            <w:vAlign w:val="center"/>
            <w:tcMar>
              <w:top w:w="70" w:type="dxa"/>
              <w:bottom w:w="70" w:type="dxa"/>
              <w:left w:w="100" w:type="dxa"/>
              <w:right w:w="100" w:type="dxa"/>
            </w:tcMar>
            <w:shd w:fill="E6EDF3"/>
          </w:tcPr>
          <w:p>
            <w:pPr>
              <w:spacing w:after="0" w:line="259" w:lineRule="auto"/>
            </w:pPr>
            <w:r>
              <w:rPr>
                <w:b/>
                <w:sz w:val="20"/>
              </w:rPr>
              <w:t>Replace the entire right column with</w:t>
            </w:r>
          </w:p>
        </w:tc>
      </w:tr>
      <w:tr>
        <w:trPr>
          <w:cantSplit/>
        </w:trPr>
        <w:tc>
          <w:tcPr>
            <w:tcW w:type="dxa" w:w="3024"/>
            <w:vAlign w:val="center"/>
            <w:tcMar>
              <w:top w:w="70" w:type="dxa"/>
              <w:bottom w:w="70" w:type="dxa"/>
              <w:left w:w="100" w:type="dxa"/>
              <w:right w:w="100" w:type="dxa"/>
            </w:tcMar>
            <w:shd w:fill="FFFFFF"/>
          </w:tcPr>
          <w:p>
            <w:pPr>
              <w:spacing w:after="0" w:line="259" w:lineRule="auto"/>
            </w:pPr>
            <w:r>
              <w:rPr>
                <w:b w:val="0"/>
                <w:sz w:val="20"/>
              </w:rPr>
              <w:t>Main light output</w:t>
            </w:r>
          </w:p>
        </w:tc>
        <w:tc>
          <w:tcPr>
            <w:tcW w:type="dxa" w:w="7013"/>
            <w:vAlign w:val="center"/>
            <w:tcMar>
              <w:top w:w="70" w:type="dxa"/>
              <w:bottom w:w="70" w:type="dxa"/>
              <w:left w:w="100" w:type="dxa"/>
              <w:right w:w="100" w:type="dxa"/>
            </w:tcMar>
            <w:shd w:fill="FFFFFF"/>
          </w:tcPr>
          <w:p>
            <w:pPr>
              <w:spacing w:after="0" w:line="259" w:lineRule="auto"/>
            </w:pPr>
            <w:r>
              <w:rPr>
                <w:b w:val="0"/>
                <w:color w:val="205D91"/>
                <w:sz w:val="20"/>
              </w:rPr>
              <w:t>850 lm (with diffuser)</w:t>
              <w:br/>
              <w:t>Bare light output: 2,000 lm (without diffuser)</w:t>
              <w:br/>
              <w:t>15 W LED</w:t>
            </w:r>
          </w:p>
        </w:tc>
      </w:tr>
    </w:tbl>
    <w:p>
      <w:pPr>
        <w:keepNext w:val="0"/>
        <w:spacing w:after="20"/>
      </w:pPr>
      <w:r>
        <w:rPr>
          <w:b w:val="0"/>
          <w:sz w:val="2"/>
        </w:rPr>
      </w:r>
    </w:p>
    <w:p>
      <w:pPr>
        <w:pStyle w:val="Heading2"/>
      </w:pPr>
      <w:r>
        <w:rPr>
          <w:rFonts w:ascii="Arial" w:hAnsi="Arial" w:eastAsia="PingFang SC"/>
          <w:color w:val="000000"/>
        </w:rPr>
        <w:t>B Two specifications for Product to confirm</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8093"/>
      </w:tblGrid>
      <w:tr>
        <w:trPr>
          <w:cantSplit/>
          <w:tblHeader/>
        </w:trPr>
        <w:tc>
          <w:tcPr>
            <w:tcW w:type="dxa" w:w="1944"/>
            <w:vAlign w:val="center"/>
            <w:tcMar>
              <w:top w:w="70" w:type="dxa"/>
              <w:bottom w:w="70" w:type="dxa"/>
              <w:left w:w="100" w:type="dxa"/>
              <w:right w:w="100" w:type="dxa"/>
            </w:tcMar>
            <w:shd w:fill="E6EDF3"/>
          </w:tcPr>
          <w:p>
            <w:pPr>
              <w:spacing w:after="0" w:line="259" w:lineRule="auto"/>
            </w:pPr>
            <w:r>
              <w:rPr>
                <w:b/>
                <w:sz w:val="20"/>
              </w:rPr>
              <w:t>Item to confirm</w:t>
            </w:r>
          </w:p>
        </w:tc>
        <w:tc>
          <w:tcPr>
            <w:tcW w:type="dxa" w:w="8093"/>
            <w:vAlign w:val="center"/>
            <w:tcMar>
              <w:top w:w="70" w:type="dxa"/>
              <w:bottom w:w="70" w:type="dxa"/>
              <w:left w:w="100" w:type="dxa"/>
              <w:right w:w="100" w:type="dxa"/>
            </w:tcMar>
            <w:shd w:fill="E6EDF3"/>
          </w:tcPr>
          <w:p>
            <w:pPr>
              <w:spacing w:after="0" w:line="259" w:lineRule="auto"/>
            </w:pPr>
            <w:r>
              <w:rPr>
                <w:b/>
                <w:sz w:val="20"/>
              </w:rPr>
              <w:t>Product input required</w:t>
            </w:r>
          </w:p>
        </w:tc>
      </w:tr>
      <w:tr>
        <w:trPr>
          <w:cantSplit/>
        </w:trPr>
        <w:tc>
          <w:tcPr>
            <w:tcW w:type="dxa" w:w="1944"/>
            <w:vAlign w:val="center"/>
            <w:tcMar>
              <w:top w:w="70" w:type="dxa"/>
              <w:bottom w:w="70" w:type="dxa"/>
              <w:left w:w="100" w:type="dxa"/>
              <w:right w:w="100" w:type="dxa"/>
            </w:tcMar>
            <w:shd w:fill="FFFFFF"/>
          </w:tcPr>
          <w:p>
            <w:pPr>
              <w:spacing w:after="0" w:line="259" w:lineRule="auto"/>
            </w:pPr>
            <w:r>
              <w:rPr>
                <w:b w:val="0"/>
                <w:sz w:val="20"/>
              </w:rPr>
              <w:t>Diameter  Figure ①</w:t>
            </w:r>
          </w:p>
        </w:tc>
        <w:tc>
          <w:tcPr>
            <w:tcW w:type="dxa" w:w="8093"/>
            <w:vAlign w:val="center"/>
            <w:tcMar>
              <w:top w:w="70" w:type="dxa"/>
              <w:bottom w:w="70" w:type="dxa"/>
              <w:left w:w="100" w:type="dxa"/>
              <w:right w:w="100" w:type="dxa"/>
            </w:tcMar>
            <w:shd w:fill="FFFFFF"/>
          </w:tcPr>
          <w:p>
            <w:pPr>
              <w:spacing w:after="0" w:line="259" w:lineRule="auto"/>
            </w:pPr>
            <w:r>
              <w:rPr>
                <w:b w:val="0"/>
                <w:sz w:val="20"/>
              </w:rPr>
              <w:t>What do 1228 mm on the website and 1219 mm in the manual each measure? Confirm the nominal blade span and overall diameter of the model currently sold.</w:t>
            </w:r>
          </w:p>
        </w:tc>
      </w:tr>
      <w:tr>
        <w:trPr>
          <w:cantSplit/>
        </w:trPr>
        <w:tc>
          <w:tcPr>
            <w:tcW w:type="dxa" w:w="1944"/>
            <w:vAlign w:val="center"/>
            <w:tcMar>
              <w:top w:w="70" w:type="dxa"/>
              <w:bottom w:w="70" w:type="dxa"/>
              <w:left w:w="100" w:type="dxa"/>
              <w:right w:w="100" w:type="dxa"/>
            </w:tcMar>
            <w:shd w:fill="FFFFFF"/>
          </w:tcPr>
          <w:p>
            <w:pPr>
              <w:spacing w:after="0" w:line="259" w:lineRule="auto"/>
            </w:pPr>
            <w:r>
              <w:rPr>
                <w:b w:val="0"/>
                <w:sz w:val="20"/>
              </w:rPr>
              <w:t>Motor power  Figure ②</w:t>
            </w:r>
          </w:p>
        </w:tc>
        <w:tc>
          <w:tcPr>
            <w:tcW w:type="dxa" w:w="8093"/>
            <w:vAlign w:val="center"/>
            <w:tcMar>
              <w:top w:w="70" w:type="dxa"/>
              <w:bottom w:w="70" w:type="dxa"/>
              <w:left w:w="100" w:type="dxa"/>
              <w:right w:w="100" w:type="dxa"/>
            </w:tcMar>
            <w:shd w:fill="FFFFFF"/>
          </w:tcPr>
          <w:p>
            <w:pPr>
              <w:spacing w:after="0" w:line="259" w:lineRule="auto"/>
            </w:pPr>
            <w:r>
              <w:rPr>
                <w:b w:val="0"/>
                <w:sz w:val="20"/>
              </w:rPr>
              <w:t>Do 32 W on the website and 25 W in the manual refer to input or output power? Are they for the same model and version? Provide the correct field names, values and units.</w:t>
            </w:r>
          </w:p>
        </w:tc>
      </w:tr>
    </w:tbl>
    <w:p>
      <w:pPr>
        <w:keepNext w:val="0"/>
        <w:spacing w:after="20"/>
      </w:pPr>
      <w:r>
        <w:rPr>
          <w:b w:val="0"/>
          <w:sz w:val="2"/>
        </w:rPr>
      </w:r>
    </w:p>
    <w:p>
      <w:pPr>
        <w:keepNext w:val="0"/>
        <w:spacing w:after="100"/>
      </w:pPr>
      <w:r>
        <w:rPr>
          <w:b w:val="0"/>
        </w:rPr>
      </w:r>
      <w:r>
        <w:rPr>
          <w:b/>
        </w:rPr>
        <w:t xml:space="preserve">Owners: </w:t>
      </w:r>
      <w:r>
        <w:t>Product supplies the model-specific specification sheet and approved values. We finalize the English dimensions and power copy. Website Operations and the manual owner update both sources.</w:t>
      </w:r>
    </w:p>
    <w:p>
      <w:pPr>
        <w:keepNext w:val="0"/>
        <w:spacing w:after="60"/>
      </w:pPr>
      <w:r>
        <w:rPr>
          <w:b w:val="0"/>
        </w:rPr>
      </w:r>
      <w:r>
        <w:rPr>
          <w:b/>
        </w:rPr>
        <w:t xml:space="preserve">Acceptance: </w:t>
      </w:r>
      <w:r>
        <w:t>The main light shows 850 lm with diffuser and 2000 lm bare output, retaining 15 W LED. Website and manual dimensions and power ratings match for the same model and field definitions.</w:t>
      </w:r>
    </w:p>
    <w:p>
      <w:pPr>
        <w:keepNext w:val="0"/>
        <w:spacing w:after="0"/>
      </w:pPr>
      <w:r>
        <w:rPr>
          <w:b w:val="0"/>
          <w:color w:val="596673"/>
          <w:sz w:val="17"/>
        </w:rPr>
        <w:t>Light output source: Product Q&amp;A, item 3. Website recorded on October 27, 2026.</w:t>
      </w:r>
    </w:p>
    <w:p>
      <w:r>
        <w:br w:type="page"/>
      </w:r>
    </w:p>
    <w:p>
      <w:pPr>
        <w:pStyle w:val="Heading1"/>
      </w:pPr>
      <w:r>
        <w:rPr>
          <w:rFonts w:ascii="Arial" w:hAnsi="Arial" w:eastAsia="PingFang SC"/>
          <w:color w:val="000000"/>
        </w:rPr>
        <w:t>W06 Re-export and replace the installation manual</w:t>
      </w:r>
    </w:p>
    <w:p>
      <w:pPr>
        <w:keepNext w:val="0"/>
        <w:spacing w:after="100"/>
      </w:pPr>
      <w:r>
        <w:rPr>
          <w:b w:val="0"/>
          <w:sz w:val="20"/>
        </w:rPr>
        <w:t xml:space="preserve">Location: Installation page → Installation Manual PDF → page 11.  </w:t>
      </w:r>
      <w:hyperlink r:id="rId11">
        <w:r>
          <w:rPr>
            <w:color w:val="205D91"/>
            <w:u w:val="single"/>
          </w:rPr>
          <w:t>Open installation page</w:t>
        </w:r>
      </w:hyperlink>
    </w:p>
    <w:p>
      <w:pPr>
        <w:keepNext w:val="0"/>
        <w:spacing w:after="100"/>
      </w:pPr>
      <w:r>
        <w:rPr>
          <w:b w:val="0"/>
        </w:rPr>
        <w:t>The visible values and copied text differ within the same PDF. Re-export the manual using Product-approved specifications, then replace the website download.</w:t>
      </w:r>
    </w:p>
    <w:p>
      <w:pPr>
        <w:keepNext/>
        <w:spacing w:line="240" w:lineRule="auto" w:before="120" w:after="120"/>
        <w:jc w:val="center"/>
      </w:pPr>
      <w:r>
        <w:drawing>
          <wp:inline xmlns:a="http://schemas.openxmlformats.org/drawingml/2006/main" xmlns:pic="http://schemas.openxmlformats.org/drawingml/2006/picture">
            <wp:extent cx="6373368" cy="3186684"/>
            <wp:docPr id="2" name="Picture 2" descr="Figure 2. Verification illustration based on manual page 11. Red circles identify the three specifications requiring confirmation."/>
            <wp:cNvGraphicFramePr>
              <a:graphicFrameLocks noChangeAspect="1"/>
            </wp:cNvGraphicFramePr>
            <a:graphic>
              <a:graphicData uri="http://schemas.openxmlformats.org/drawingml/2006/picture">
                <pic:pic>
                  <pic:nvPicPr>
                    <pic:cNvPr id="0" name="W06_Edit_Locations_EN.png"/>
                    <pic:cNvPicPr/>
                  </pic:nvPicPr>
                  <pic:blipFill>
                    <a:blip r:embed="rId12"/>
                    <a:stretch>
                      <a:fillRect/>
                    </a:stretch>
                  </pic:blipFill>
                  <pic:spPr>
                    <a:xfrm>
                      <a:off x="0" y="0"/>
                      <a:ext cx="6373368" cy="3186684"/>
                    </a:xfrm>
                    <a:prstGeom prst="rect"/>
                  </pic:spPr>
                </pic:pic>
              </a:graphicData>
            </a:graphic>
          </wp:inline>
        </w:drawing>
      </w:r>
    </w:p>
    <w:p>
      <w:pPr>
        <w:keepNext w:val="0"/>
        <w:spacing w:after="80"/>
      </w:pPr>
      <w:r>
        <w:rPr>
          <w:b w:val="0"/>
          <w:color w:val="596673"/>
          <w:sz w:val="17"/>
        </w:rPr>
        <w:t>Figure 2. Verification illustration based on manual page 11. Red circles identify the three specifications requiring confirmation.</w:t>
      </w:r>
    </w:p>
    <w:p>
      <w:pPr>
        <w:pStyle w:val="Heading2"/>
      </w:pPr>
      <w:r>
        <w:rPr>
          <w:rFonts w:ascii="Arial" w:hAnsi="Arial" w:eastAsia="PingFang SC"/>
          <w:color w:val="000000"/>
        </w:rPr>
        <w:t>A Three discrepancies found</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1584"/>
        <w:gridCol w:w="1584"/>
        <w:gridCol w:w="4493"/>
      </w:tblGrid>
      <w:tr>
        <w:trPr>
          <w:cantSplit/>
          <w:tblHeader/>
        </w:trPr>
        <w:tc>
          <w:tcPr>
            <w:tcW w:type="dxa" w:w="2376"/>
            <w:vAlign w:val="center"/>
            <w:tcMar>
              <w:top w:w="70" w:type="dxa"/>
              <w:bottom w:w="70" w:type="dxa"/>
              <w:left w:w="100" w:type="dxa"/>
              <w:right w:w="100" w:type="dxa"/>
            </w:tcMar>
            <w:shd w:fill="E6EDF3"/>
          </w:tcPr>
          <w:p>
            <w:pPr>
              <w:spacing w:after="0" w:line="259" w:lineRule="auto"/>
            </w:pPr>
            <w:r>
              <w:rPr>
                <w:b/>
                <w:sz w:val="20"/>
              </w:rPr>
              <w:t>Specification</w:t>
            </w:r>
          </w:p>
        </w:tc>
        <w:tc>
          <w:tcPr>
            <w:tcW w:type="dxa" w:w="1584"/>
            <w:vAlign w:val="center"/>
            <w:tcMar>
              <w:top w:w="70" w:type="dxa"/>
              <w:bottom w:w="70" w:type="dxa"/>
              <w:left w:w="100" w:type="dxa"/>
              <w:right w:w="100" w:type="dxa"/>
            </w:tcMar>
            <w:shd w:fill="E6EDF3"/>
          </w:tcPr>
          <w:p>
            <w:pPr>
              <w:spacing w:after="0" w:line="259" w:lineRule="auto"/>
            </w:pPr>
            <w:r>
              <w:rPr>
                <w:b/>
                <w:sz w:val="20"/>
              </w:rPr>
              <w:t>Visible page</w:t>
            </w:r>
          </w:p>
        </w:tc>
        <w:tc>
          <w:tcPr>
            <w:tcW w:type="dxa" w:w="1584"/>
            <w:vAlign w:val="center"/>
            <w:tcMar>
              <w:top w:w="70" w:type="dxa"/>
              <w:bottom w:w="70" w:type="dxa"/>
              <w:left w:w="100" w:type="dxa"/>
              <w:right w:w="100" w:type="dxa"/>
            </w:tcMar>
            <w:shd w:fill="E6EDF3"/>
          </w:tcPr>
          <w:p>
            <w:pPr>
              <w:spacing w:after="0" w:line="259" w:lineRule="auto"/>
            </w:pPr>
            <w:r>
              <w:rPr>
                <w:b/>
                <w:sz w:val="20"/>
              </w:rPr>
              <w:t>Extracted text</w:t>
            </w:r>
          </w:p>
        </w:tc>
        <w:tc>
          <w:tcPr>
            <w:tcW w:type="dxa" w:w="4493"/>
            <w:vAlign w:val="center"/>
            <w:tcMar>
              <w:top w:w="70" w:type="dxa"/>
              <w:bottom w:w="70" w:type="dxa"/>
              <w:left w:w="100" w:type="dxa"/>
              <w:right w:w="100" w:type="dxa"/>
            </w:tcMar>
            <w:shd w:fill="E6EDF3"/>
          </w:tcPr>
          <w:p>
            <w:pPr>
              <w:spacing w:after="0" w:line="259" w:lineRule="auto"/>
            </w:pPr>
            <w:r>
              <w:rPr>
                <w:b/>
                <w:sz w:val="20"/>
              </w:rPr>
              <w:t>Product must confirm</w:t>
            </w:r>
          </w:p>
        </w:tc>
      </w:tr>
      <w:tr>
        <w:trPr>
          <w:cantSplit/>
        </w:trPr>
        <w:tc>
          <w:tcPr>
            <w:tcW w:type="dxa" w:w="2376"/>
            <w:vAlign w:val="center"/>
            <w:tcMar>
              <w:top w:w="70" w:type="dxa"/>
              <w:bottom w:w="70" w:type="dxa"/>
              <w:left w:w="100" w:type="dxa"/>
              <w:right w:w="100" w:type="dxa"/>
            </w:tcMar>
            <w:shd w:fill="FFFFFF"/>
          </w:tcPr>
          <w:p>
            <w:pPr>
              <w:spacing w:after="0" w:line="259" w:lineRule="auto"/>
            </w:pPr>
            <w:r>
              <w:rPr>
                <w:b w:val="0"/>
                <w:sz w:val="20"/>
              </w:rPr>
              <w:t>Product weight</w:t>
            </w:r>
          </w:p>
        </w:tc>
        <w:tc>
          <w:tcPr>
            <w:tcW w:type="dxa" w:w="1584"/>
            <w:vAlign w:val="center"/>
            <w:tcMar>
              <w:top w:w="70" w:type="dxa"/>
              <w:bottom w:w="70" w:type="dxa"/>
              <w:left w:w="100" w:type="dxa"/>
              <w:right w:w="100" w:type="dxa"/>
            </w:tcMar>
            <w:shd w:fill="FFFFFF"/>
          </w:tcPr>
          <w:p>
            <w:pPr>
              <w:spacing w:after="0" w:line="259" w:lineRule="auto"/>
            </w:pPr>
            <w:r>
              <w:rPr>
                <w:b w:val="0"/>
                <w:sz w:val="20"/>
              </w:rPr>
              <w:t>10 kg</w:t>
            </w:r>
          </w:p>
        </w:tc>
        <w:tc>
          <w:tcPr>
            <w:tcW w:type="dxa" w:w="1584"/>
            <w:vAlign w:val="center"/>
            <w:tcMar>
              <w:top w:w="70" w:type="dxa"/>
              <w:bottom w:w="70" w:type="dxa"/>
              <w:left w:w="100" w:type="dxa"/>
              <w:right w:w="100" w:type="dxa"/>
            </w:tcMar>
            <w:shd w:fill="FFFFFF"/>
          </w:tcPr>
          <w:p>
            <w:pPr>
              <w:spacing w:after="0" w:line="259" w:lineRule="auto"/>
            </w:pPr>
            <w:r>
              <w:rPr>
                <w:b w:val="0"/>
                <w:sz w:val="20"/>
              </w:rPr>
              <w:t>12 kg</w:t>
            </w:r>
          </w:p>
        </w:tc>
        <w:tc>
          <w:tcPr>
            <w:tcW w:type="dxa" w:w="4493"/>
            <w:vAlign w:val="center"/>
            <w:tcMar>
              <w:top w:w="70" w:type="dxa"/>
              <w:bottom w:w="70" w:type="dxa"/>
              <w:left w:w="100" w:type="dxa"/>
              <w:right w:w="100" w:type="dxa"/>
            </w:tcMar>
            <w:shd w:fill="FFFFFF"/>
          </w:tcPr>
          <w:p>
            <w:pPr>
              <w:spacing w:after="0" w:line="259" w:lineRule="auto"/>
            </w:pPr>
            <w:r>
              <w:rPr>
                <w:b w:val="0"/>
                <w:sz w:val="20"/>
              </w:rPr>
              <w:t>Net weight of the model currently sold</w:t>
            </w:r>
          </w:p>
        </w:tc>
      </w:tr>
      <w:tr>
        <w:trPr>
          <w:cantSplit/>
        </w:trPr>
        <w:tc>
          <w:tcPr>
            <w:tcW w:type="dxa" w:w="2376"/>
            <w:vAlign w:val="center"/>
            <w:tcMar>
              <w:top w:w="70" w:type="dxa"/>
              <w:bottom w:w="70" w:type="dxa"/>
              <w:left w:w="100" w:type="dxa"/>
              <w:right w:w="100" w:type="dxa"/>
            </w:tcMar>
            <w:shd w:fill="FFFFFF"/>
          </w:tcPr>
          <w:p>
            <w:pPr>
              <w:spacing w:after="0" w:line="259" w:lineRule="auto"/>
            </w:pPr>
            <w:r>
              <w:rPr>
                <w:b w:val="0"/>
                <w:sz w:val="20"/>
              </w:rPr>
              <w:t>Total rated power</w:t>
            </w:r>
          </w:p>
        </w:tc>
        <w:tc>
          <w:tcPr>
            <w:tcW w:type="dxa" w:w="1584"/>
            <w:vAlign w:val="center"/>
            <w:tcMar>
              <w:top w:w="70" w:type="dxa"/>
              <w:bottom w:w="70" w:type="dxa"/>
              <w:left w:w="100" w:type="dxa"/>
              <w:right w:w="100" w:type="dxa"/>
            </w:tcMar>
            <w:shd w:fill="FFFFFF"/>
          </w:tcPr>
          <w:p>
            <w:pPr>
              <w:spacing w:after="0" w:line="259" w:lineRule="auto"/>
            </w:pPr>
            <w:r>
              <w:rPr>
                <w:b w:val="0"/>
                <w:sz w:val="20"/>
              </w:rPr>
              <w:t>100 W</w:t>
            </w:r>
          </w:p>
        </w:tc>
        <w:tc>
          <w:tcPr>
            <w:tcW w:type="dxa" w:w="1584"/>
            <w:vAlign w:val="center"/>
            <w:tcMar>
              <w:top w:w="70" w:type="dxa"/>
              <w:bottom w:w="70" w:type="dxa"/>
              <w:left w:w="100" w:type="dxa"/>
              <w:right w:w="100" w:type="dxa"/>
            </w:tcMar>
            <w:shd w:fill="FFFFFF"/>
          </w:tcPr>
          <w:p>
            <w:pPr>
              <w:spacing w:after="0" w:line="259" w:lineRule="auto"/>
            </w:pPr>
            <w:r>
              <w:rPr>
                <w:b w:val="0"/>
                <w:sz w:val="20"/>
              </w:rPr>
              <w:t>140 W</w:t>
            </w:r>
          </w:p>
        </w:tc>
        <w:tc>
          <w:tcPr>
            <w:tcW w:type="dxa" w:w="4493"/>
            <w:vAlign w:val="center"/>
            <w:tcMar>
              <w:top w:w="70" w:type="dxa"/>
              <w:bottom w:w="70" w:type="dxa"/>
              <w:left w:w="100" w:type="dxa"/>
              <w:right w:w="100" w:type="dxa"/>
            </w:tcMar>
            <w:shd w:fill="FFFFFF"/>
          </w:tcPr>
          <w:p>
            <w:pPr>
              <w:spacing w:after="0" w:line="259" w:lineRule="auto"/>
            </w:pPr>
            <w:r>
              <w:rPr>
                <w:b w:val="0"/>
                <w:sz w:val="20"/>
              </w:rPr>
              <w:t>Total rated power and its definition</w:t>
            </w:r>
          </w:p>
        </w:tc>
      </w:tr>
      <w:tr>
        <w:trPr>
          <w:cantSplit/>
        </w:trPr>
        <w:tc>
          <w:tcPr>
            <w:tcW w:type="dxa" w:w="2376"/>
            <w:vAlign w:val="center"/>
            <w:tcMar>
              <w:top w:w="70" w:type="dxa"/>
              <w:bottom w:w="70" w:type="dxa"/>
              <w:left w:w="100" w:type="dxa"/>
              <w:right w:w="100" w:type="dxa"/>
            </w:tcMar>
            <w:shd w:fill="FFFFFF"/>
          </w:tcPr>
          <w:p>
            <w:pPr>
              <w:spacing w:after="0" w:line="259" w:lineRule="auto"/>
            </w:pPr>
            <w:r>
              <w:rPr>
                <w:b w:val="0"/>
                <w:sz w:val="20"/>
              </w:rPr>
              <w:t>Rated motor output</w:t>
            </w:r>
          </w:p>
        </w:tc>
        <w:tc>
          <w:tcPr>
            <w:tcW w:type="dxa" w:w="1584"/>
            <w:vAlign w:val="center"/>
            <w:tcMar>
              <w:top w:w="70" w:type="dxa"/>
              <w:bottom w:w="70" w:type="dxa"/>
              <w:left w:w="100" w:type="dxa"/>
              <w:right w:w="100" w:type="dxa"/>
            </w:tcMar>
            <w:shd w:fill="FFFFFF"/>
          </w:tcPr>
          <w:p>
            <w:pPr>
              <w:spacing w:after="0" w:line="259" w:lineRule="auto"/>
            </w:pPr>
            <w:r>
              <w:rPr>
                <w:b w:val="0"/>
                <w:sz w:val="20"/>
              </w:rPr>
              <w:t>25 W</w:t>
            </w:r>
          </w:p>
        </w:tc>
        <w:tc>
          <w:tcPr>
            <w:tcW w:type="dxa" w:w="1584"/>
            <w:vAlign w:val="center"/>
            <w:tcMar>
              <w:top w:w="70" w:type="dxa"/>
              <w:bottom w:w="70" w:type="dxa"/>
              <w:left w:w="100" w:type="dxa"/>
              <w:right w:w="100" w:type="dxa"/>
            </w:tcMar>
            <w:shd w:fill="FFFFFF"/>
          </w:tcPr>
          <w:p>
            <w:pPr>
              <w:spacing w:after="0" w:line="259" w:lineRule="auto"/>
            </w:pPr>
            <w:r>
              <w:rPr>
                <w:b w:val="0"/>
                <w:sz w:val="20"/>
              </w:rPr>
              <w:t>35 W</w:t>
            </w:r>
          </w:p>
        </w:tc>
        <w:tc>
          <w:tcPr>
            <w:tcW w:type="dxa" w:w="4493"/>
            <w:vAlign w:val="center"/>
            <w:tcMar>
              <w:top w:w="70" w:type="dxa"/>
              <w:bottom w:w="70" w:type="dxa"/>
              <w:left w:w="100" w:type="dxa"/>
              <w:right w:w="100" w:type="dxa"/>
            </w:tcMar>
            <w:shd w:fill="FFFFFF"/>
          </w:tcPr>
          <w:p>
            <w:pPr>
              <w:spacing w:after="0" w:line="259" w:lineRule="auto"/>
            </w:pPr>
            <w:r>
              <w:rPr>
                <w:b w:val="0"/>
                <w:sz w:val="20"/>
              </w:rPr>
              <w:t>Rated motor output power</w:t>
            </w:r>
          </w:p>
        </w:tc>
      </w:tr>
    </w:tbl>
    <w:p>
      <w:pPr>
        <w:keepNext w:val="0"/>
        <w:spacing w:after="20"/>
      </w:pPr>
      <w:r>
        <w:rPr>
          <w:b w:val="0"/>
          <w:sz w:val="2"/>
        </w:rPr>
      </w:r>
    </w:p>
    <w:p>
      <w:pPr>
        <w:pStyle w:val="Heading2"/>
      </w:pPr>
      <w:r>
        <w:rPr>
          <w:rFonts w:ascii="Arial" w:hAnsi="Arial" w:eastAsia="PingFang SC"/>
          <w:color w:val="000000"/>
        </w:rPr>
        <w:t>B Produce the replacement in this order</w:t>
      </w:r>
    </w:p>
    <w:p>
      <w:pPr>
        <w:keepNext w:val="0"/>
        <w:spacing w:after="100"/>
      </w:pPr>
      <w:r>
        <w:rPr>
          <w:b w:val="0"/>
        </w:rPr>
      </w:r>
      <w:r>
        <w:rPr>
          <w:b/>
        </w:rPr>
        <w:t xml:space="preserve">1  Product owner: </w:t>
      </w:r>
      <w:r>
        <w:t>Approve the three values above and provide the model, hardware version and specification sheet. Include the diameter confirmed under W05.</w:t>
      </w:r>
    </w:p>
    <w:p>
      <w:pPr>
        <w:keepNext w:val="0"/>
        <w:spacing w:after="100"/>
      </w:pPr>
      <w:r>
        <w:rPr>
          <w:b w:val="0"/>
        </w:rPr>
      </w:r>
      <w:r>
        <w:rPr>
          <w:b/>
        </w:rPr>
        <w:t xml:space="preserve">2  Manual owner: </w:t>
      </w:r>
      <w:r>
        <w:t>Update the specifications in every language in the source layout file. Export a PDF with selectable, copyable text. State the version and update date in the filename and on the first page.</w:t>
      </w:r>
    </w:p>
    <w:p>
      <w:pPr>
        <w:keepNext w:val="0"/>
        <w:spacing w:after="100"/>
      </w:pPr>
      <w:r>
        <w:rPr>
          <w:b w:val="0"/>
        </w:rPr>
      </w:r>
      <w:r>
        <w:rPr>
          <w:b/>
        </w:rPr>
        <w:t xml:space="preserve">3  Website Operations: </w:t>
      </w:r>
      <w:r>
        <w:t>Point the Installation page and all other manual download links on the website to the new file. Submit the new link for acceptance checks.</w:t>
      </w:r>
    </w:p>
    <w:p>
      <w:pPr>
        <w:pStyle w:val="Heading2"/>
      </w:pPr>
      <w:r>
        <w:rPr>
          <w:rFonts w:ascii="Arial" w:hAnsi="Arial" w:eastAsia="PingFang SC"/>
          <w:color w:val="000000"/>
        </w:rPr>
        <w:t>C Acceptance checks</w:t>
      </w:r>
    </w:p>
    <w:p>
      <w:pPr>
        <w:keepNext w:val="0"/>
        <w:spacing w:after="100"/>
      </w:pPr>
      <w:r>
        <w:rPr>
          <w:b w:val="0"/>
        </w:rPr>
        <w:t>Download the manual again from the website. For weight, total power and motor output, confirm that the visible value, text pasted into a plain text editor and extracted text all match the approved specifications. Check every language version and the download version.</w:t>
      </w:r>
    </w:p>
    <w:p>
      <w:pPr>
        <w:keepNext w:val="0"/>
        <w:spacing w:after="0"/>
      </w:pPr>
      <w:r>
        <w:rPr>
          <w:b w:val="0"/>
          <w:color w:val="596673"/>
          <w:sz w:val="17"/>
        </w:rPr>
        <w:t>Source: Website installation manual downloaded on October 27, 2026, page 11. Final values must match Product’s approved specification record.</w:t>
      </w:r>
    </w:p>
    <w:p>
      <w:r>
        <w:br w:type="page"/>
      </w:r>
    </w:p>
    <w:p>
      <w:pPr>
        <w:pStyle w:val="Heading1"/>
      </w:pPr>
      <w:r>
        <w:rPr>
          <w:rFonts w:ascii="Arial" w:hAnsi="Arial" w:eastAsia="PingFang SC"/>
          <w:color w:val="000000"/>
        </w:rPr>
        <w:t>W07 Correct frequency response and add test notes</w:t>
      </w:r>
    </w:p>
    <w:p>
      <w:pPr>
        <w:keepNext w:val="0"/>
        <w:spacing w:after="100"/>
      </w:pPr>
      <w:r>
        <w:rPr>
          <w:b w:val="0"/>
          <w:sz w:val="20"/>
        </w:rPr>
        <w:t xml:space="preserve">Location: Product page → Tech Specs → Sound → Frequency response.  </w:t>
      </w:r>
      <w:hyperlink r:id="rId9">
        <w:r>
          <w:rPr>
            <w:color w:val="205D91"/>
            <w:u w:val="single"/>
          </w:rPr>
          <w:t>Open product page</w:t>
        </w:r>
      </w:hyperlink>
    </w:p>
    <w:p>
      <w:pPr>
        <w:keepNext w:val="0"/>
        <w:spacing w:after="100"/>
      </w:pPr>
      <w:r>
        <w:rPr>
          <w:b w:val="0"/>
        </w:rPr>
        <w:t>Remove the duplicate dB while retaining the confirmed frequency range, −10 dB threshold and EQ-enabled condition. Then add test notes at the end of Sound.</w:t>
      </w:r>
    </w:p>
    <w:p>
      <w:pPr>
        <w:keepNext/>
        <w:spacing w:line="240" w:lineRule="auto" w:before="120" w:after="120"/>
        <w:jc w:val="center"/>
      </w:pPr>
      <w:r>
        <w:drawing>
          <wp:inline xmlns:a="http://schemas.openxmlformats.org/drawingml/2006/main" xmlns:pic="http://schemas.openxmlformats.org/drawingml/2006/picture">
            <wp:extent cx="6373368" cy="3586925"/>
            <wp:docPr id="3" name="Picture 3" descr="Figure 3. Edit locations illustrated from website screenshots. Red marks the unit error; blue marks where to add the test notes."/>
            <wp:cNvGraphicFramePr>
              <a:graphicFrameLocks noChangeAspect="1"/>
            </wp:cNvGraphicFramePr>
            <a:graphic>
              <a:graphicData uri="http://schemas.openxmlformats.org/drawingml/2006/picture">
                <pic:pic>
                  <pic:nvPicPr>
                    <pic:cNvPr id="0" name="W07_Edit_Locations_EN.png"/>
                    <pic:cNvPicPr/>
                  </pic:nvPicPr>
                  <pic:blipFill>
                    <a:blip r:embed="rId13"/>
                    <a:stretch>
                      <a:fillRect/>
                    </a:stretch>
                  </pic:blipFill>
                  <pic:spPr>
                    <a:xfrm>
                      <a:off x="0" y="0"/>
                      <a:ext cx="6373368" cy="3586925"/>
                    </a:xfrm>
                    <a:prstGeom prst="rect"/>
                  </pic:spPr>
                </pic:pic>
              </a:graphicData>
            </a:graphic>
          </wp:inline>
        </w:drawing>
      </w:r>
    </w:p>
    <w:p>
      <w:pPr>
        <w:keepNext w:val="0"/>
        <w:spacing w:after="80"/>
      </w:pPr>
      <w:r>
        <w:rPr>
          <w:b w:val="0"/>
          <w:color w:val="596673"/>
          <w:sz w:val="17"/>
        </w:rPr>
        <w:t>Figure 3. Edit locations illustrated from website screenshots. Red marks the unit error; blue marks where to add the test notes.</w:t>
      </w:r>
    </w:p>
    <w:p>
      <w:pPr>
        <w:pStyle w:val="Heading2"/>
      </w:pPr>
      <w:r>
        <w:rPr>
          <w:rFonts w:ascii="Arial" w:hAnsi="Arial" w:eastAsia="PingFang SC"/>
          <w:color w:val="000000"/>
        </w:rPr>
        <w:t>A Replace this row as shown</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7013"/>
      </w:tblGrid>
      <w:tr>
        <w:trPr>
          <w:cantSplit/>
          <w:tblHeader/>
        </w:trPr>
        <w:tc>
          <w:tcPr>
            <w:tcW w:type="dxa" w:w="3024"/>
            <w:vAlign w:val="center"/>
            <w:tcMar>
              <w:top w:w="70" w:type="dxa"/>
              <w:bottom w:w="70" w:type="dxa"/>
              <w:left w:w="100" w:type="dxa"/>
              <w:right w:w="100" w:type="dxa"/>
            </w:tcMar>
            <w:shd w:fill="E6EDF3"/>
          </w:tcPr>
          <w:p>
            <w:pPr>
              <w:spacing w:after="0" w:line="259" w:lineRule="auto"/>
            </w:pPr>
            <w:r>
              <w:rPr>
                <w:b/>
                <w:sz w:val="20"/>
              </w:rPr>
              <w:t>Keep this field</w:t>
            </w:r>
          </w:p>
        </w:tc>
        <w:tc>
          <w:tcPr>
            <w:tcW w:type="dxa" w:w="7013"/>
            <w:vAlign w:val="center"/>
            <w:tcMar>
              <w:top w:w="70" w:type="dxa"/>
              <w:bottom w:w="70" w:type="dxa"/>
              <w:left w:w="100" w:type="dxa"/>
              <w:right w:w="100" w:type="dxa"/>
            </w:tcMar>
            <w:shd w:fill="E6EDF3"/>
          </w:tcPr>
          <w:p>
            <w:pPr>
              <w:spacing w:after="0" w:line="259" w:lineRule="auto"/>
            </w:pPr>
            <w:r>
              <w:rPr>
                <w:b/>
                <w:sz w:val="20"/>
              </w:rPr>
              <w:t>Replace the entire right column with</w:t>
            </w:r>
          </w:p>
        </w:tc>
      </w:tr>
      <w:tr>
        <w:trPr>
          <w:cantSplit/>
        </w:trPr>
        <w:tc>
          <w:tcPr>
            <w:tcW w:type="dxa" w:w="3024"/>
            <w:vAlign w:val="center"/>
            <w:tcMar>
              <w:top w:w="70" w:type="dxa"/>
              <w:bottom w:w="70" w:type="dxa"/>
              <w:left w:w="100" w:type="dxa"/>
              <w:right w:w="100" w:type="dxa"/>
            </w:tcMar>
            <w:shd w:fill="FFFFFF"/>
          </w:tcPr>
          <w:p>
            <w:pPr>
              <w:spacing w:after="0" w:line="259" w:lineRule="auto"/>
            </w:pPr>
            <w:r>
              <w:rPr>
                <w:b w:val="0"/>
                <w:sz w:val="20"/>
              </w:rPr>
              <w:t>Frequency response</w:t>
            </w:r>
          </w:p>
        </w:tc>
        <w:tc>
          <w:tcPr>
            <w:tcW w:type="dxa" w:w="7013"/>
            <w:vAlign w:val="center"/>
            <w:tcMar>
              <w:top w:w="70" w:type="dxa"/>
              <w:bottom w:w="70" w:type="dxa"/>
              <w:left w:w="100" w:type="dxa"/>
              <w:right w:w="100" w:type="dxa"/>
            </w:tcMar>
            <w:shd w:fill="FFFFFF"/>
          </w:tcPr>
          <w:p>
            <w:pPr>
              <w:spacing w:after="0" w:line="259" w:lineRule="auto"/>
            </w:pPr>
            <w:r>
              <w:rPr>
                <w:b w:val="0"/>
                <w:color w:val="205D91"/>
                <w:sz w:val="20"/>
              </w:rPr>
              <w:t>45 Hz–20 kHz</w:t>
              <w:br/>
              <w:t>−10 dB, with EQ enabled</w:t>
            </w:r>
          </w:p>
        </w:tc>
      </w:tr>
    </w:tbl>
    <w:p>
      <w:pPr>
        <w:keepNext w:val="0"/>
        <w:spacing w:after="20"/>
      </w:pPr>
      <w:r>
        <w:rPr>
          <w:b w:val="0"/>
          <w:sz w:val="2"/>
        </w:rPr>
      </w:r>
    </w:p>
    <w:p>
      <w:pPr>
        <w:keepNext w:val="0"/>
        <w:spacing w:after="100"/>
      </w:pPr>
      <w:r>
        <w:rPr>
          <w:b w:val="0"/>
          <w:sz w:val="20"/>
        </w:rPr>
        <w:t>Here, −10 dB defines the frequency-response range, and EQ means equalizer. This is a different metric from the fan noise in W08.</w:t>
      </w:r>
    </w:p>
    <w:p>
      <w:pPr>
        <w:pStyle w:val="Heading2"/>
      </w:pPr>
      <w:r>
        <w:rPr>
          <w:rFonts w:ascii="Arial" w:hAnsi="Arial" w:eastAsia="PingFang SC"/>
          <w:color w:val="000000"/>
        </w:rPr>
        <w:t>B Where to add the test notes and what to include</w:t>
      </w:r>
    </w:p>
    <w:p>
      <w:pPr>
        <w:keepNext w:val="0"/>
        <w:spacing w:after="100"/>
      </w:pPr>
      <w:r>
        <w:rPr>
          <w:b w:val="0"/>
        </w:rPr>
        <w:t>Add a row below Sound delivery and above Lighting. Use Measurement notes in the left column and measurement conditions plus a report link in the right column. Keep the existing two-column layout.</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8093"/>
      </w:tblGrid>
      <w:tr>
        <w:trPr>
          <w:cantSplit/>
          <w:tblHeader/>
        </w:trPr>
        <w:tc>
          <w:tcPr>
            <w:tcW w:type="dxa" w:w="1944"/>
            <w:vAlign w:val="center"/>
            <w:tcMar>
              <w:top w:w="70" w:type="dxa"/>
              <w:bottom w:w="70" w:type="dxa"/>
              <w:left w:w="100" w:type="dxa"/>
              <w:right w:w="100" w:type="dxa"/>
            </w:tcMar>
            <w:shd w:fill="E6EDF3"/>
          </w:tcPr>
          <w:p>
            <w:pPr>
              <w:spacing w:after="0" w:line="259" w:lineRule="auto"/>
            </w:pPr>
            <w:r>
              <w:rPr>
                <w:b/>
                <w:sz w:val="20"/>
              </w:rPr>
              <w:t>Product input</w:t>
            </w:r>
          </w:p>
        </w:tc>
        <w:tc>
          <w:tcPr>
            <w:tcW w:type="dxa" w:w="8093"/>
            <w:vAlign w:val="center"/>
            <w:tcMar>
              <w:top w:w="70" w:type="dxa"/>
              <w:bottom w:w="70" w:type="dxa"/>
              <w:left w:w="100" w:type="dxa"/>
              <w:right w:w="100" w:type="dxa"/>
            </w:tcMar>
            <w:shd w:fill="E6EDF3"/>
          </w:tcPr>
          <w:p>
            <w:pPr>
              <w:spacing w:after="0" w:line="259" w:lineRule="auto"/>
            </w:pPr>
            <w:r>
              <w:rPr>
                <w:b/>
                <w:sz w:val="20"/>
              </w:rPr>
              <w:t>Required details</w:t>
            </w:r>
          </w:p>
        </w:tc>
      </w:tr>
      <w:tr>
        <w:trPr>
          <w:cantSplit/>
        </w:trPr>
        <w:tc>
          <w:tcPr>
            <w:tcW w:type="dxa" w:w="1944"/>
            <w:vAlign w:val="center"/>
            <w:tcMar>
              <w:top w:w="70" w:type="dxa"/>
              <w:bottom w:w="70" w:type="dxa"/>
              <w:left w:w="100" w:type="dxa"/>
              <w:right w:w="100" w:type="dxa"/>
            </w:tcMar>
            <w:shd w:fill="FFFFFF"/>
          </w:tcPr>
          <w:p>
            <w:pPr>
              <w:spacing w:after="0" w:line="259" w:lineRule="auto"/>
            </w:pPr>
            <w:r>
              <w:rPr>
                <w:b w:val="0"/>
                <w:sz w:val="20"/>
              </w:rPr>
              <w:t>Test conditions</w:t>
            </w:r>
          </w:p>
        </w:tc>
        <w:tc>
          <w:tcPr>
            <w:tcW w:type="dxa" w:w="8093"/>
            <w:vAlign w:val="center"/>
            <w:tcMar>
              <w:top w:w="70" w:type="dxa"/>
              <w:bottom w:w="70" w:type="dxa"/>
              <w:left w:w="100" w:type="dxa"/>
              <w:right w:w="100" w:type="dxa"/>
            </w:tcMar>
            <w:shd w:fill="FFFFFF"/>
          </w:tcPr>
          <w:p>
            <w:pPr>
              <w:spacing w:after="0" w:line="259" w:lineRule="auto"/>
            </w:pPr>
            <w:r>
              <w:rPr>
                <w:b w:val="0"/>
                <w:sz w:val="20"/>
              </w:rPr>
              <w:t>Model and firmware version; EQ preset; microphone distance and position; test environment and method; reference level for the −10 dB threshold.</w:t>
            </w:r>
          </w:p>
        </w:tc>
      </w:tr>
      <w:tr>
        <w:trPr>
          <w:cantSplit/>
        </w:trPr>
        <w:tc>
          <w:tcPr>
            <w:tcW w:type="dxa" w:w="1944"/>
            <w:vAlign w:val="center"/>
            <w:tcMar>
              <w:top w:w="70" w:type="dxa"/>
              <w:bottom w:w="70" w:type="dxa"/>
              <w:left w:w="100" w:type="dxa"/>
              <w:right w:w="100" w:type="dxa"/>
            </w:tcMar>
            <w:shd w:fill="FFFFFF"/>
          </w:tcPr>
          <w:p>
            <w:pPr>
              <w:spacing w:after="0" w:line="259" w:lineRule="auto"/>
            </w:pPr>
            <w:r>
              <w:rPr>
                <w:b w:val="0"/>
                <w:sz w:val="20"/>
              </w:rPr>
              <w:t>Test evidence</w:t>
            </w:r>
          </w:p>
        </w:tc>
        <w:tc>
          <w:tcPr>
            <w:tcW w:type="dxa" w:w="8093"/>
            <w:vAlign w:val="center"/>
            <w:tcMar>
              <w:top w:w="70" w:type="dxa"/>
              <w:bottom w:w="70" w:type="dxa"/>
              <w:left w:w="100" w:type="dxa"/>
              <w:right w:w="100" w:type="dxa"/>
            </w:tcMar>
            <w:shd w:fill="FFFFFF"/>
          </w:tcPr>
          <w:p>
            <w:pPr>
              <w:spacing w:after="0" w:line="259" w:lineRule="auto"/>
            </w:pPr>
            <w:r>
              <w:rPr>
                <w:b w:val="0"/>
                <w:sz w:val="20"/>
              </w:rPr>
              <w:t>The matching frequency-response curve or report and test date. Confirm whether the report or curve may be published.</w:t>
            </w:r>
          </w:p>
        </w:tc>
      </w:tr>
    </w:tbl>
    <w:p>
      <w:pPr>
        <w:keepNext w:val="0"/>
        <w:spacing w:after="20"/>
      </w:pPr>
      <w:r>
        <w:rPr>
          <w:b w:val="0"/>
          <w:sz w:val="2"/>
        </w:rPr>
      </w:r>
    </w:p>
    <w:p>
      <w:pPr>
        <w:keepNext w:val="0"/>
        <w:spacing w:after="100"/>
      </w:pPr>
      <w:r>
        <w:rPr>
          <w:b w:val="0"/>
        </w:rPr>
      </w:r>
      <w:r>
        <w:rPr>
          <w:b/>
        </w:rPr>
        <w:t xml:space="preserve">Owners: </w:t>
      </w:r>
      <w:r>
        <w:t>Operations replaces the frequency-response row first. After Product supplies the information above, we draft the complete English test notes and Operations adds them at the blue-marked location.</w:t>
      </w:r>
    </w:p>
    <w:p>
      <w:pPr>
        <w:keepNext w:val="0"/>
        <w:spacing w:after="60"/>
      </w:pPr>
      <w:r>
        <w:rPr>
          <w:b w:val="0"/>
        </w:rPr>
      </w:r>
      <w:r>
        <w:rPr>
          <w:b/>
        </w:rPr>
        <w:t xml:space="preserve">Acceptance: </w:t>
      </w:r>
      <w:r>
        <w:t>The first line reads 45 Hz–20 kHz; the second reads −10 dB, with EQ enabled. No duplicated unit remains. The notes match the test evidence and display in full on desktop and mobile.</w:t>
      </w:r>
    </w:p>
    <w:p>
      <w:pPr>
        <w:keepNext w:val="0"/>
        <w:spacing w:after="0"/>
      </w:pPr>
      <w:r>
        <w:rPr>
          <w:b w:val="0"/>
          <w:color w:val="596673"/>
          <w:sz w:val="17"/>
        </w:rPr>
        <w:t>Value source: Product Q&amp;A, item 4. Website recorded on October 27, 2026.</w:t>
      </w:r>
    </w:p>
    <w:p>
      <w:r>
        <w:br w:type="page"/>
      </w:r>
    </w:p>
    <w:p>
      <w:pPr>
        <w:pStyle w:val="Heading1"/>
      </w:pPr>
      <w:r>
        <w:rPr>
          <w:rFonts w:ascii="Arial" w:hAnsi="Arial" w:eastAsia="PingFang SC"/>
          <w:color w:val="000000"/>
        </w:rPr>
        <w:t>W08 Align fan noise and substantiate airflow</w:t>
      </w:r>
    </w:p>
    <w:p>
      <w:pPr>
        <w:keepNext w:val="0"/>
        <w:spacing w:after="100"/>
      </w:pPr>
      <w:r>
        <w:rPr>
          <w:b w:val="0"/>
          <w:sz w:val="20"/>
        </w:rPr>
        <w:t xml:space="preserve">Location: Product page → Tech Specs → Airflow → Airflow and Operating noise.  </w:t>
      </w:r>
      <w:hyperlink r:id="rId9">
        <w:r>
          <w:rPr>
            <w:color w:val="205D91"/>
            <w:u w:val="single"/>
          </w:rPr>
          <w:t>Open product page</w:t>
        </w:r>
      </w:hyperlink>
    </w:p>
    <w:p>
      <w:pPr>
        <w:keepNext w:val="0"/>
        <w:spacing w:after="100"/>
      </w:pPr>
      <w:r>
        <w:rPr>
          <w:b w:val="0"/>
        </w:rPr>
        <w:t>Use less than 45 dB for noise, as confirmed by Product. Verify the 4500 CFM airflow claim separately. CFM is an airflow unit; each metric needs its own test conditions.</w:t>
      </w:r>
    </w:p>
    <w:p>
      <w:pPr>
        <w:keepNext/>
        <w:spacing w:line="240" w:lineRule="auto" w:before="120" w:after="120"/>
        <w:jc w:val="center"/>
      </w:pPr>
      <w:r>
        <w:drawing>
          <wp:inline xmlns:a="http://schemas.openxmlformats.org/drawingml/2006/main" xmlns:pic="http://schemas.openxmlformats.org/drawingml/2006/picture">
            <wp:extent cx="5990966" cy="3183571"/>
            <wp:docPr id="4" name="Picture 4" descr="Figure 4. Website edit-location illustration. Blue boxes show the two new measurement row titles and positions."/>
            <wp:cNvGraphicFramePr>
              <a:graphicFrameLocks noChangeAspect="1"/>
            </wp:cNvGraphicFramePr>
            <a:graphic>
              <a:graphicData uri="http://schemas.openxmlformats.org/drawingml/2006/picture">
                <pic:pic>
                  <pic:nvPicPr>
                    <pic:cNvPr id="0" name="W08_Edit_Locations_EN.png"/>
                    <pic:cNvPicPr/>
                  </pic:nvPicPr>
                  <pic:blipFill>
                    <a:blip r:embed="rId14"/>
                    <a:stretch>
                      <a:fillRect/>
                    </a:stretch>
                  </pic:blipFill>
                  <pic:spPr>
                    <a:xfrm>
                      <a:off x="0" y="0"/>
                      <a:ext cx="5990966" cy="3183571"/>
                    </a:xfrm>
                    <a:prstGeom prst="rect"/>
                  </pic:spPr>
                </pic:pic>
              </a:graphicData>
            </a:graphic>
          </wp:inline>
        </w:drawing>
      </w:r>
    </w:p>
    <w:p>
      <w:pPr>
        <w:keepNext w:val="0"/>
        <w:spacing w:after="80"/>
      </w:pPr>
      <w:r>
        <w:rPr>
          <w:b w:val="0"/>
          <w:color w:val="596673"/>
          <w:sz w:val="17"/>
        </w:rPr>
        <w:t>Figure 4. Website edit-location illustration. Blue boxes show the two new measurement row titles and positions.</w:t>
      </w:r>
    </w:p>
    <w:p>
      <w:pPr>
        <w:pStyle w:val="Heading2"/>
      </w:pPr>
      <w:r>
        <w:rPr>
          <w:rFonts w:ascii="Arial" w:hAnsi="Arial" w:eastAsia="PingFang SC"/>
          <w:color w:val="000000"/>
        </w:rPr>
        <w:t>A How to update the two existing rows</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2520"/>
        <w:gridCol w:w="5501"/>
      </w:tblGrid>
      <w:tr>
        <w:trPr>
          <w:cantSplit/>
          <w:tblHeader/>
        </w:trPr>
        <w:tc>
          <w:tcPr>
            <w:tcW w:type="dxa" w:w="2016"/>
            <w:vAlign w:val="center"/>
            <w:tcMar>
              <w:top w:w="70" w:type="dxa"/>
              <w:bottom w:w="70" w:type="dxa"/>
              <w:left w:w="100" w:type="dxa"/>
              <w:right w:w="100" w:type="dxa"/>
            </w:tcMar>
            <w:shd w:fill="E6EDF3"/>
          </w:tcPr>
          <w:p>
            <w:pPr>
              <w:spacing w:after="0" w:line="259" w:lineRule="auto"/>
            </w:pPr>
            <w:r>
              <w:rPr>
                <w:b/>
                <w:sz w:val="20"/>
              </w:rPr>
              <w:t>Left-column field</w:t>
            </w:r>
          </w:p>
        </w:tc>
        <w:tc>
          <w:tcPr>
            <w:tcW w:type="dxa" w:w="2520"/>
            <w:vAlign w:val="center"/>
            <w:tcMar>
              <w:top w:w="70" w:type="dxa"/>
              <w:bottom w:w="70" w:type="dxa"/>
              <w:left w:w="100" w:type="dxa"/>
              <w:right w:w="100" w:type="dxa"/>
            </w:tcMar>
            <w:shd w:fill="E6EDF3"/>
          </w:tcPr>
          <w:p>
            <w:pPr>
              <w:spacing w:after="0" w:line="259" w:lineRule="auto"/>
            </w:pPr>
            <w:r>
              <w:rPr>
                <w:b/>
                <w:sz w:val="20"/>
              </w:rPr>
              <w:t>Current right column</w:t>
            </w:r>
          </w:p>
        </w:tc>
        <w:tc>
          <w:tcPr>
            <w:tcW w:type="dxa" w:w="5501"/>
            <w:vAlign w:val="center"/>
            <w:tcMar>
              <w:top w:w="70" w:type="dxa"/>
              <w:bottom w:w="70" w:type="dxa"/>
              <w:left w:w="100" w:type="dxa"/>
              <w:right w:w="100" w:type="dxa"/>
            </w:tcMar>
            <w:shd w:fill="E6EDF3"/>
          </w:tcPr>
          <w:p>
            <w:pPr>
              <w:spacing w:after="0" w:line="259" w:lineRule="auto"/>
            </w:pPr>
            <w:r>
              <w:rPr>
                <w:b/>
                <w:sz w:val="20"/>
              </w:rPr>
              <w:t>Action</w:t>
            </w:r>
          </w:p>
        </w:tc>
      </w:tr>
      <w:tr>
        <w:trPr>
          <w:cantSplit/>
        </w:trPr>
        <w:tc>
          <w:tcPr>
            <w:tcW w:type="dxa" w:w="2016"/>
            <w:vAlign w:val="center"/>
            <w:tcMar>
              <w:top w:w="70" w:type="dxa"/>
              <w:bottom w:w="70" w:type="dxa"/>
              <w:left w:w="100" w:type="dxa"/>
              <w:right w:w="100" w:type="dxa"/>
            </w:tcMar>
            <w:shd w:fill="FFFFFF"/>
          </w:tcPr>
          <w:p>
            <w:pPr>
              <w:spacing w:after="0" w:line="259" w:lineRule="auto"/>
            </w:pPr>
            <w:r>
              <w:rPr>
                <w:b w:val="0"/>
                <w:sz w:val="20"/>
              </w:rPr>
              <w:t>Operating noise</w:t>
            </w:r>
          </w:p>
        </w:tc>
        <w:tc>
          <w:tcPr>
            <w:tcW w:type="dxa" w:w="2520"/>
            <w:vAlign w:val="center"/>
            <w:tcMar>
              <w:top w:w="70" w:type="dxa"/>
              <w:bottom w:w="70" w:type="dxa"/>
              <w:left w:w="100" w:type="dxa"/>
              <w:right w:w="100" w:type="dxa"/>
            </w:tcMar>
            <w:shd w:fill="FFFFFF"/>
          </w:tcPr>
          <w:p>
            <w:pPr>
              <w:spacing w:after="0" w:line="259" w:lineRule="auto"/>
            </w:pPr>
            <w:r>
              <w:rPr>
                <w:b w:val="0"/>
                <w:sz w:val="20"/>
              </w:rPr>
              <w:t>As low as 45 dB</w:t>
            </w:r>
          </w:p>
        </w:tc>
        <w:tc>
          <w:tcPr>
            <w:tcW w:type="dxa" w:w="5501"/>
            <w:vAlign w:val="center"/>
            <w:tcMar>
              <w:top w:w="70" w:type="dxa"/>
              <w:bottom w:w="70" w:type="dxa"/>
              <w:left w:w="100" w:type="dxa"/>
              <w:right w:w="100" w:type="dxa"/>
            </w:tcMar>
            <w:shd w:fill="FFFFFF"/>
          </w:tcPr>
          <w:p>
            <w:pPr>
              <w:spacing w:after="0" w:line="259" w:lineRule="auto"/>
            </w:pPr>
            <w:r>
              <w:rPr>
                <w:b w:val="0"/>
                <w:sz w:val="20"/>
              </w:rPr>
              <w:t>Replace the entire entry with &lt;45 dB. Keep dB; Product must supply the weighting method.</w:t>
            </w:r>
          </w:p>
        </w:tc>
      </w:tr>
      <w:tr>
        <w:trPr>
          <w:cantSplit/>
        </w:trPr>
        <w:tc>
          <w:tcPr>
            <w:tcW w:type="dxa" w:w="2016"/>
            <w:vAlign w:val="center"/>
            <w:tcMar>
              <w:top w:w="70" w:type="dxa"/>
              <w:bottom w:w="70" w:type="dxa"/>
              <w:left w:w="100" w:type="dxa"/>
              <w:right w:w="100" w:type="dxa"/>
            </w:tcMar>
            <w:shd w:fill="FFFFFF"/>
          </w:tcPr>
          <w:p>
            <w:pPr>
              <w:spacing w:after="0" w:line="259" w:lineRule="auto"/>
            </w:pPr>
            <w:r>
              <w:rPr>
                <w:b w:val="0"/>
                <w:sz w:val="20"/>
              </w:rPr>
              <w:t>Airflow</w:t>
            </w:r>
          </w:p>
        </w:tc>
        <w:tc>
          <w:tcPr>
            <w:tcW w:type="dxa" w:w="2520"/>
            <w:vAlign w:val="center"/>
            <w:tcMar>
              <w:top w:w="70" w:type="dxa"/>
              <w:bottom w:w="70" w:type="dxa"/>
              <w:left w:w="100" w:type="dxa"/>
              <w:right w:w="100" w:type="dxa"/>
            </w:tcMar>
            <w:shd w:fill="FFFFFF"/>
          </w:tcPr>
          <w:p>
            <w:pPr>
              <w:spacing w:after="0" w:line="259" w:lineRule="auto"/>
            </w:pPr>
            <w:r>
              <w:rPr>
                <w:b w:val="0"/>
                <w:sz w:val="20"/>
              </w:rPr>
              <w:t>Up to 4500 CFM</w:t>
            </w:r>
          </w:p>
        </w:tc>
        <w:tc>
          <w:tcPr>
            <w:tcW w:type="dxa" w:w="5501"/>
            <w:vAlign w:val="center"/>
            <w:tcMar>
              <w:top w:w="70" w:type="dxa"/>
              <w:bottom w:w="70" w:type="dxa"/>
              <w:left w:w="100" w:type="dxa"/>
              <w:right w:w="100" w:type="dxa"/>
            </w:tcMar>
            <w:shd w:fill="FFFFFF"/>
          </w:tcPr>
          <w:p>
            <w:pPr>
              <w:spacing w:after="0" w:line="259" w:lineRule="auto"/>
            </w:pPr>
            <w:r>
              <w:rPr>
                <w:b w:val="0"/>
                <w:sz w:val="20"/>
              </w:rPr>
              <w:t>Product confirms the value and test evidence. Retain it if confirmed; otherwise update it to the approved value.</w:t>
            </w:r>
          </w:p>
        </w:tc>
      </w:tr>
    </w:tbl>
    <w:p>
      <w:pPr>
        <w:keepNext w:val="0"/>
        <w:spacing w:after="20"/>
      </w:pPr>
      <w:r>
        <w:rPr>
          <w:b w:val="0"/>
          <w:sz w:val="2"/>
        </w:rPr>
      </w:r>
    </w:p>
    <w:p>
      <w:pPr>
        <w:pStyle w:val="Heading2"/>
      </w:pPr>
      <w:r>
        <w:rPr>
          <w:rFonts w:ascii="Arial" w:hAnsi="Arial" w:eastAsia="PingFang SC"/>
          <w:color w:val="000000"/>
        </w:rPr>
        <w:t>B Test data required from Product</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8885"/>
      </w:tblGrid>
      <w:tr>
        <w:trPr>
          <w:cantSplit/>
          <w:tblHeader/>
        </w:trPr>
        <w:tc>
          <w:tcPr>
            <w:tcW w:type="dxa" w:w="1152"/>
            <w:vAlign w:val="center"/>
            <w:tcMar>
              <w:top w:w="70" w:type="dxa"/>
              <w:bottom w:w="70" w:type="dxa"/>
              <w:left w:w="100" w:type="dxa"/>
              <w:right w:w="100" w:type="dxa"/>
            </w:tcMar>
            <w:shd w:fill="E6EDF3"/>
          </w:tcPr>
          <w:p>
            <w:pPr>
              <w:spacing w:after="0" w:line="259" w:lineRule="auto"/>
            </w:pPr>
            <w:r>
              <w:rPr>
                <w:b/>
                <w:sz w:val="20"/>
              </w:rPr>
              <w:t>Metric</w:t>
            </w:r>
          </w:p>
        </w:tc>
        <w:tc>
          <w:tcPr>
            <w:tcW w:type="dxa" w:w="8885"/>
            <w:vAlign w:val="center"/>
            <w:tcMar>
              <w:top w:w="70" w:type="dxa"/>
              <w:bottom w:w="70" w:type="dxa"/>
              <w:left w:w="100" w:type="dxa"/>
              <w:right w:w="100" w:type="dxa"/>
            </w:tcMar>
            <w:shd w:fill="E6EDF3"/>
          </w:tcPr>
          <w:p>
            <w:pPr>
              <w:spacing w:after="0" w:line="259" w:lineRule="auto"/>
            </w:pPr>
            <w:r>
              <w:rPr>
                <w:b/>
                <w:sz w:val="20"/>
              </w:rPr>
              <w:t>Provide for the model currently sold</w:t>
            </w:r>
          </w:p>
        </w:tc>
      </w:tr>
      <w:tr>
        <w:trPr>
          <w:cantSplit/>
        </w:trPr>
        <w:tc>
          <w:tcPr>
            <w:tcW w:type="dxa" w:w="1152"/>
            <w:vAlign w:val="center"/>
            <w:tcMar>
              <w:top w:w="70" w:type="dxa"/>
              <w:bottom w:w="70" w:type="dxa"/>
              <w:left w:w="100" w:type="dxa"/>
              <w:right w:w="100" w:type="dxa"/>
            </w:tcMar>
            <w:shd w:fill="FFFFFF"/>
          </w:tcPr>
          <w:p>
            <w:pPr>
              <w:spacing w:after="0" w:line="259" w:lineRule="auto"/>
            </w:pPr>
            <w:r>
              <w:rPr>
                <w:b w:val="0"/>
                <w:sz w:val="20"/>
              </w:rPr>
              <w:t>Airflow</w:t>
            </w:r>
          </w:p>
        </w:tc>
        <w:tc>
          <w:tcPr>
            <w:tcW w:type="dxa" w:w="8885"/>
            <w:vAlign w:val="center"/>
            <w:tcMar>
              <w:top w:w="70" w:type="dxa"/>
              <w:bottom w:w="70" w:type="dxa"/>
              <w:left w:w="100" w:type="dxa"/>
              <w:right w:w="100" w:type="dxa"/>
            </w:tcMar>
            <w:shd w:fill="FFFFFF"/>
          </w:tcPr>
          <w:p>
            <w:pPr>
              <w:spacing w:after="0" w:line="259" w:lineRule="auto"/>
            </w:pPr>
            <w:r>
              <w:rPr>
                <w:b w:val="0"/>
                <w:sz w:val="20"/>
              </w:rPr>
              <w:t>Confirmed value; speed setting and rotation direction; installation height or test setup; test method or standard; report or specification sheet.</w:t>
            </w:r>
          </w:p>
        </w:tc>
      </w:tr>
      <w:tr>
        <w:trPr>
          <w:cantSplit/>
        </w:trPr>
        <w:tc>
          <w:tcPr>
            <w:tcW w:type="dxa" w:w="1152"/>
            <w:vAlign w:val="center"/>
            <w:tcMar>
              <w:top w:w="70" w:type="dxa"/>
              <w:bottom w:w="70" w:type="dxa"/>
              <w:left w:w="100" w:type="dxa"/>
              <w:right w:w="100" w:type="dxa"/>
            </w:tcMar>
            <w:shd w:fill="FFFFFF"/>
          </w:tcPr>
          <w:p>
            <w:pPr>
              <w:spacing w:after="0" w:line="259" w:lineRule="auto"/>
            </w:pPr>
            <w:r>
              <w:rPr>
                <w:b w:val="0"/>
                <w:sz w:val="20"/>
              </w:rPr>
              <w:t>Noise</w:t>
            </w:r>
          </w:p>
        </w:tc>
        <w:tc>
          <w:tcPr>
            <w:tcW w:type="dxa" w:w="8885"/>
            <w:vAlign w:val="center"/>
            <w:tcMar>
              <w:top w:w="70" w:type="dxa"/>
              <w:bottom w:w="70" w:type="dxa"/>
              <w:left w:w="100" w:type="dxa"/>
              <w:right w:w="100" w:type="dxa"/>
            </w:tcMar>
            <w:shd w:fill="FFFFFF"/>
          </w:tcPr>
          <w:p>
            <w:pPr>
              <w:spacing w:after="0" w:line="259" w:lineRule="auto"/>
            </w:pPr>
            <w:r>
              <w:rPr>
                <w:b w:val="0"/>
                <w:sz w:val="20"/>
              </w:rPr>
              <w:t>Speed setting; whether audio and other functions were on; measurement distance and microphone position; whether A-weighting was used; background noise; test method and report.</w:t>
            </w:r>
          </w:p>
        </w:tc>
      </w:tr>
    </w:tbl>
    <w:p>
      <w:pPr>
        <w:keepNext w:val="0"/>
        <w:spacing w:after="20"/>
      </w:pPr>
      <w:r>
        <w:rPr>
          <w:b w:val="0"/>
          <w:sz w:val="2"/>
        </w:rPr>
      </w:r>
    </w:p>
    <w:p>
      <w:pPr>
        <w:keepNext w:val="0"/>
        <w:spacing w:after="100"/>
      </w:pPr>
      <w:r>
        <w:rPr>
          <w:b w:val="0"/>
          <w:sz w:val="20"/>
        </w:rPr>
        <w:t>Include the model/version and test date for both metrics. We prepare the English copy. Operations adds Airflow measurement and Noise measurement below Blade system, with the respective conditions and evidence links in the right column.</w:t>
      </w:r>
    </w:p>
    <w:p>
      <w:pPr>
        <w:pStyle w:val="Heading2"/>
      </w:pPr>
      <w:r>
        <w:rPr>
          <w:rFonts w:ascii="Arial" w:hAnsi="Arial" w:eastAsia="PingFang SC"/>
          <w:color w:val="000000"/>
        </w:rPr>
        <w:t>C Synchronization and acceptance</w:t>
      </w:r>
    </w:p>
    <w:p>
      <w:pPr>
        <w:keepNext w:val="0"/>
        <w:spacing w:after="100"/>
      </w:pPr>
      <w:r>
        <w:rPr>
          <w:b w:val="0"/>
        </w:rPr>
        <w:t>Operations checks noise claims on the product page, in the manual and in published related articles, and aligns them with the approved wording. Verify &lt;45 dB for noise, airflow consistent with the evidence, separate speed settings and conditions for each metric, an unobstructed mobile layout and working report links.</w:t>
      </w:r>
    </w:p>
    <w:p>
      <w:pPr>
        <w:keepNext w:val="0"/>
        <w:spacing w:after="0"/>
      </w:pPr>
      <w:r>
        <w:rPr>
          <w:b w:val="0"/>
          <w:color w:val="596673"/>
          <w:sz w:val="17"/>
        </w:rPr>
        <w:t>Noise source: Product Q&amp;A, item 2. 4500 CFM is the current website value, pending Product confirmation. Website recorded on October 27, 2026.</w:t>
      </w:r>
    </w:p>
    <w:sectPr w:rsidR="00FC693F" w:rsidRPr="0006063C" w:rsidSect="00034616">
      <w:pgSz w:w="11909" w:h="16834"/>
      <w:pgMar w:top="792" w:right="936" w:bottom="792"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00"/>
    </w:pPr>
    <w:rPr>
      <w:rFonts w:ascii="Arial" w:hAnsi="Arial" w:eastAsia="PingFang SC"/>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eastAsia="PingFang SC"/>
      <w:color w:val="000000"/>
    </w:rPr>
  </w:style>
  <w:style w:type="character" w:customStyle="1" w:styleId="HeaderChar">
    <w:name w:val="Header Char"/>
    <w:basedOn w:val="DefaultParagraphFont"/>
    <w:link w:val="Header"/>
    <w:uiPriority w:val="99"/>
    <w:rsid w:val="00E618BF"/>
    <w:rPr>
      <w:rFonts w:ascii="Arial" w:hAnsi="Arial" w:eastAsia="PingFang SC"/>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eastAsia="PingFang SC"/>
      <w:color w:val="000000"/>
    </w:rPr>
  </w:style>
  <w:style w:type="character" w:customStyle="1" w:styleId="FooterChar">
    <w:name w:val="Footer Char"/>
    <w:basedOn w:val="DefaultParagraphFont"/>
    <w:link w:val="Footer"/>
    <w:uiPriority w:val="99"/>
    <w:rsid w:val="00E618BF"/>
    <w:rPr>
      <w:rFonts w:ascii="Arial" w:hAnsi="Arial" w:eastAsia="PingFang SC"/>
      <w:color w:val="000000"/>
    </w:rPr>
  </w:style>
  <w:style w:type="paragraph" w:styleId="Heading1">
    <w:name w:val="heading 1"/>
    <w:basedOn w:val="Normal"/>
    <w:next w:val="Normal"/>
    <w:link w:val="Heading1Char"/>
    <w:uiPriority w:val="9"/>
    <w:qFormat/>
    <w:rsid w:val="00FC693F"/>
    <w:pPr>
      <w:keepNext/>
      <w:keepLines/>
      <w:spacing w:before="140" w:after="100"/>
      <w:outlineLvl w:val="0"/>
    </w:pPr>
    <w:rPr>
      <w:rFonts w:ascii="Arial" w:hAnsi="Arial" w:eastAsia="PingFang S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Arial" w:hAnsi="Arial" w:eastAsia="PingFang SC"/>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eastAsia="PingFang SC"/>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Arial" w:hAnsi="Arial" w:eastAsia="PingFang SC"/>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rial" w:hAnsi="Arial" w:eastAsia="PingFang SC"/>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rial" w:hAnsi="Arial" w:eastAsia="PingFang SC"/>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rial" w:hAnsi="Arial" w:eastAsia="PingFang SC"/>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rial" w:hAnsi="Arial" w:eastAsia="PingFang SC"/>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rial" w:hAnsi="Arial" w:eastAsia="PingFang SC"/>
      <w:i/>
      <w:iCs/>
      <w:color w:val="000000"/>
      <w:sz w:val="20"/>
      <w:szCs w:val="20"/>
    </w:rPr>
  </w:style>
  <w:style w:type="character" w:default="1" w:styleId="DefaultParagraphFont">
    <w:name w:val="Default Paragraph Font"/>
    <w:uiPriority w:val="1"/>
    <w:semiHidden/>
    <w:unhideWhenUsed/>
    <w:rPr>
      <w:rFonts w:ascii="Arial" w:hAnsi="Arial" w:eastAsia="PingFang SC"/>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eastAsia="PingFang SC"/>
      <w:color w:val="000000"/>
    </w:rPr>
  </w:style>
  <w:style w:type="character" w:customStyle="1" w:styleId="Heading1Char">
    <w:name w:val="Heading 1 Char"/>
    <w:basedOn w:val="DefaultParagraphFont"/>
    <w:link w:val="Heading1"/>
    <w:uiPriority w:val="9"/>
    <w:rsid w:val="00FC693F"/>
    <w:rPr>
      <w:rFonts w:ascii="Arial" w:hAnsi="Arial" w:eastAsia="PingFang SC"/>
      <w:b/>
      <w:bCs/>
      <w:color w:val="000000"/>
      <w:sz w:val="28"/>
      <w:szCs w:val="28"/>
    </w:rPr>
  </w:style>
  <w:style w:type="character" w:customStyle="1" w:styleId="Heading2Char">
    <w:name w:val="Heading 2 Char"/>
    <w:basedOn w:val="DefaultParagraphFont"/>
    <w:link w:val="Heading2"/>
    <w:uiPriority w:val="9"/>
    <w:rsid w:val="00FC693F"/>
    <w:rPr>
      <w:rFonts w:ascii="Arial" w:hAnsi="Arial" w:eastAsia="PingFang SC"/>
      <w:b/>
      <w:bCs/>
      <w:color w:val="000000"/>
      <w:sz w:val="26"/>
      <w:szCs w:val="26"/>
    </w:rPr>
  </w:style>
  <w:style w:type="character" w:customStyle="1" w:styleId="Heading3Char">
    <w:name w:val="Heading 3 Char"/>
    <w:basedOn w:val="DefaultParagraphFont"/>
    <w:link w:val="Heading3"/>
    <w:uiPriority w:val="9"/>
    <w:rsid w:val="00FC693F"/>
    <w:rPr>
      <w:rFonts w:ascii="Arial" w:hAnsi="Arial" w:eastAsia="PingFang SC"/>
      <w:b/>
      <w:bCs/>
      <w:color w:val="000000"/>
    </w:rPr>
  </w:style>
  <w:style w:type="paragraph" w:styleId="Title">
    <w:name w:val="Title"/>
    <w:basedOn w:val="Normal"/>
    <w:next w:val="Normal"/>
    <w:link w:val="TitleChar"/>
    <w:uiPriority w:val="10"/>
    <w:qFormat/>
    <w:rsid w:val="00FC693F"/>
    <w:pPr>
      <w:keepNext/>
      <w:spacing w:after="100" w:line="240" w:lineRule="auto" w:before="0"/>
      <w:contextualSpacing/>
    </w:pPr>
    <w:rPr>
      <w:rFonts w:ascii="Arial" w:hAnsi="Arial" w:eastAsia="PingFang SC"/>
      <w:b/>
      <w:color w:val="000000"/>
      <w:spacing w:val="5"/>
      <w:kern w:val="28"/>
      <w:sz w:val="36"/>
      <w:szCs w:val="52"/>
    </w:rPr>
  </w:style>
  <w:style w:type="character" w:customStyle="1" w:styleId="TitleChar">
    <w:name w:val="Title Char"/>
    <w:basedOn w:val="DefaultParagraphFont"/>
    <w:link w:val="Title"/>
    <w:uiPriority w:val="10"/>
    <w:rsid w:val="00FC693F"/>
    <w:rPr>
      <w:rFonts w:ascii="Arial" w:hAnsi="Arial" w:eastAsia="PingFang SC"/>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Arial" w:hAnsi="Arial" w:eastAsia="PingFang SC"/>
      <w:i/>
      <w:iCs/>
      <w:color w:val="000000"/>
      <w:spacing w:val="15"/>
      <w:sz w:val="24"/>
      <w:szCs w:val="24"/>
    </w:rPr>
  </w:style>
  <w:style w:type="character" w:customStyle="1" w:styleId="SubtitleChar">
    <w:name w:val="Subtitle Char"/>
    <w:basedOn w:val="DefaultParagraphFont"/>
    <w:link w:val="Subtitle"/>
    <w:uiPriority w:val="11"/>
    <w:rsid w:val="00FC693F"/>
    <w:rPr>
      <w:rFonts w:ascii="Arial" w:hAnsi="Arial" w:eastAsia="PingFang SC"/>
      <w:i/>
      <w:iCs/>
      <w:color w:val="000000"/>
      <w:spacing w:val="15"/>
      <w:sz w:val="24"/>
      <w:szCs w:val="24"/>
    </w:rPr>
  </w:style>
  <w:style w:type="paragraph" w:styleId="ListParagraph">
    <w:name w:val="List Paragraph"/>
    <w:basedOn w:val="Normal"/>
    <w:uiPriority w:val="34"/>
    <w:qFormat/>
    <w:rsid w:val="00FC693F"/>
    <w:pPr>
      <w:ind w:left="720"/>
      <w:contextualSpacing/>
    </w:pPr>
    <w:rPr>
      <w:rFonts w:ascii="Arial" w:hAnsi="Arial" w:eastAsia="PingFang SC"/>
      <w:color w:val="000000"/>
    </w:rPr>
  </w:style>
  <w:style w:type="paragraph" w:styleId="BodyText">
    <w:name w:val="Body Text"/>
    <w:basedOn w:val="Normal"/>
    <w:link w:val="BodyTextChar"/>
    <w:uiPriority w:val="99"/>
    <w:unhideWhenUsed/>
    <w:rsid w:val="00AA1D8D"/>
    <w:pPr>
      <w:spacing w:after="120"/>
    </w:pPr>
    <w:rPr>
      <w:rFonts w:ascii="Arial" w:hAnsi="Arial" w:eastAsia="PingFang SC"/>
      <w:color w:val="000000"/>
    </w:rPr>
  </w:style>
  <w:style w:type="character" w:customStyle="1" w:styleId="BodyTextChar">
    <w:name w:val="Body Text Char"/>
    <w:basedOn w:val="DefaultParagraphFont"/>
    <w:link w:val="BodyText"/>
    <w:uiPriority w:val="99"/>
    <w:rsid w:val="00AA1D8D"/>
    <w:rPr>
      <w:rFonts w:ascii="Arial" w:hAnsi="Arial" w:eastAsia="PingFang SC"/>
      <w:color w:val="000000"/>
    </w:rPr>
  </w:style>
  <w:style w:type="paragraph" w:styleId="BodyText2">
    <w:name w:val="Body Text 2"/>
    <w:basedOn w:val="Normal"/>
    <w:link w:val="BodyText2Char"/>
    <w:uiPriority w:val="99"/>
    <w:unhideWhenUsed/>
    <w:rsid w:val="00AA1D8D"/>
    <w:pPr>
      <w:spacing w:after="120" w:line="480" w:lineRule="auto"/>
    </w:pPr>
    <w:rPr>
      <w:rFonts w:ascii="Arial" w:hAnsi="Arial" w:eastAsia="PingFang SC"/>
      <w:color w:val="000000"/>
    </w:rPr>
  </w:style>
  <w:style w:type="character" w:customStyle="1" w:styleId="BodyText2Char">
    <w:name w:val="Body Text 2 Char"/>
    <w:basedOn w:val="DefaultParagraphFont"/>
    <w:link w:val="BodyText2"/>
    <w:uiPriority w:val="99"/>
    <w:rsid w:val="00AA1D8D"/>
    <w:rPr>
      <w:rFonts w:ascii="Arial" w:hAnsi="Arial" w:eastAsia="PingFang SC"/>
      <w:color w:val="000000"/>
    </w:rPr>
  </w:style>
  <w:style w:type="paragraph" w:styleId="BodyText3">
    <w:name w:val="Body Text 3"/>
    <w:basedOn w:val="Normal"/>
    <w:link w:val="BodyText3Char"/>
    <w:uiPriority w:val="99"/>
    <w:unhideWhenUsed/>
    <w:rsid w:val="00AA1D8D"/>
    <w:pPr>
      <w:spacing w:after="120"/>
    </w:pPr>
    <w:rPr>
      <w:rFonts w:ascii="Arial" w:hAnsi="Arial" w:eastAsia="PingFang SC"/>
      <w:color w:val="000000"/>
      <w:sz w:val="16"/>
      <w:szCs w:val="16"/>
    </w:rPr>
  </w:style>
  <w:style w:type="character" w:customStyle="1" w:styleId="BodyText3Char">
    <w:name w:val="Body Text 3 Char"/>
    <w:basedOn w:val="DefaultParagraphFont"/>
    <w:link w:val="BodyText3"/>
    <w:uiPriority w:val="99"/>
    <w:rsid w:val="00AA1D8D"/>
    <w:rPr>
      <w:rFonts w:ascii="Arial" w:hAnsi="Arial" w:eastAsia="PingFang SC"/>
      <w:color w:val="000000"/>
      <w:sz w:val="16"/>
      <w:szCs w:val="16"/>
    </w:rPr>
  </w:style>
  <w:style w:type="paragraph" w:styleId="List">
    <w:name w:val="List"/>
    <w:basedOn w:val="Normal"/>
    <w:uiPriority w:val="99"/>
    <w:unhideWhenUsed/>
    <w:rsid w:val="00AA1D8D"/>
    <w:pPr>
      <w:ind w:left="360" w:hanging="360"/>
      <w:contextualSpacing/>
    </w:pPr>
    <w:rPr>
      <w:rFonts w:ascii="Arial" w:hAnsi="Arial" w:eastAsia="PingFang SC"/>
      <w:color w:val="000000"/>
    </w:rPr>
  </w:style>
  <w:style w:type="paragraph" w:styleId="List2">
    <w:name w:val="List 2"/>
    <w:basedOn w:val="Normal"/>
    <w:uiPriority w:val="99"/>
    <w:unhideWhenUsed/>
    <w:rsid w:val="00326F90"/>
    <w:pPr>
      <w:ind w:left="720" w:hanging="360"/>
      <w:contextualSpacing/>
    </w:pPr>
    <w:rPr>
      <w:rFonts w:ascii="Arial" w:hAnsi="Arial" w:eastAsia="PingFang SC"/>
      <w:color w:val="000000"/>
    </w:rPr>
  </w:style>
  <w:style w:type="paragraph" w:styleId="List3">
    <w:name w:val="List 3"/>
    <w:basedOn w:val="Normal"/>
    <w:uiPriority w:val="99"/>
    <w:unhideWhenUsed/>
    <w:rsid w:val="00326F90"/>
    <w:pPr>
      <w:ind w:left="1080" w:hanging="360"/>
      <w:contextualSpacing/>
    </w:pPr>
    <w:rPr>
      <w:rFonts w:ascii="Arial" w:hAnsi="Arial" w:eastAsia="PingFang SC"/>
      <w:color w:val="000000"/>
    </w:rPr>
  </w:style>
  <w:style w:type="paragraph" w:styleId="ListBullet">
    <w:name w:val="List Bullet"/>
    <w:basedOn w:val="Normal"/>
    <w:uiPriority w:val="99"/>
    <w:unhideWhenUsed/>
    <w:rsid w:val="00326F90"/>
    <w:pPr>
      <w:numPr>
        <w:numId w:val="1"/>
      </w:numPr>
      <w:contextualSpacing/>
    </w:pPr>
    <w:rPr>
      <w:rFonts w:ascii="Arial" w:hAnsi="Arial" w:eastAsia="PingFang SC"/>
      <w:color w:val="000000"/>
    </w:rPr>
  </w:style>
  <w:style w:type="paragraph" w:styleId="ListBullet2">
    <w:name w:val="List Bullet 2"/>
    <w:basedOn w:val="Normal"/>
    <w:uiPriority w:val="99"/>
    <w:unhideWhenUsed/>
    <w:rsid w:val="00326F90"/>
    <w:pPr>
      <w:numPr>
        <w:numId w:val="2"/>
      </w:numPr>
      <w:contextualSpacing/>
    </w:pPr>
    <w:rPr>
      <w:rFonts w:ascii="Arial" w:hAnsi="Arial" w:eastAsia="PingFang SC"/>
      <w:color w:val="000000"/>
    </w:rPr>
  </w:style>
  <w:style w:type="paragraph" w:styleId="ListBullet3">
    <w:name w:val="List Bullet 3"/>
    <w:basedOn w:val="Normal"/>
    <w:uiPriority w:val="99"/>
    <w:unhideWhenUsed/>
    <w:rsid w:val="00326F90"/>
    <w:pPr>
      <w:numPr>
        <w:numId w:val="3"/>
      </w:numPr>
      <w:contextualSpacing/>
    </w:pPr>
    <w:rPr>
      <w:rFonts w:ascii="Arial" w:hAnsi="Arial" w:eastAsia="PingFang SC"/>
      <w:color w:val="000000"/>
    </w:rPr>
  </w:style>
  <w:style w:type="paragraph" w:styleId="ListNumber">
    <w:name w:val="List Number"/>
    <w:basedOn w:val="Normal"/>
    <w:uiPriority w:val="99"/>
    <w:unhideWhenUsed/>
    <w:rsid w:val="00326F90"/>
    <w:pPr>
      <w:numPr>
        <w:numId w:val="5"/>
      </w:numPr>
      <w:contextualSpacing/>
    </w:pPr>
    <w:rPr>
      <w:rFonts w:ascii="Arial" w:hAnsi="Arial" w:eastAsia="PingFang SC"/>
      <w:color w:val="000000"/>
    </w:rPr>
  </w:style>
  <w:style w:type="paragraph" w:styleId="ListNumber2">
    <w:name w:val="List Number 2"/>
    <w:basedOn w:val="Normal"/>
    <w:uiPriority w:val="99"/>
    <w:unhideWhenUsed/>
    <w:rsid w:val="0029639D"/>
    <w:pPr>
      <w:numPr>
        <w:numId w:val="6"/>
      </w:numPr>
      <w:contextualSpacing/>
    </w:pPr>
    <w:rPr>
      <w:rFonts w:ascii="Arial" w:hAnsi="Arial" w:eastAsia="PingFang SC"/>
      <w:color w:val="000000"/>
    </w:rPr>
  </w:style>
  <w:style w:type="paragraph" w:styleId="ListNumber3">
    <w:name w:val="List Number 3"/>
    <w:basedOn w:val="Normal"/>
    <w:uiPriority w:val="99"/>
    <w:unhideWhenUsed/>
    <w:rsid w:val="0029639D"/>
    <w:pPr>
      <w:numPr>
        <w:numId w:val="7"/>
      </w:numPr>
      <w:contextualSpacing/>
    </w:pPr>
    <w:rPr>
      <w:rFonts w:ascii="Arial" w:hAnsi="Arial" w:eastAsia="PingFang SC"/>
      <w:color w:val="000000"/>
    </w:rPr>
  </w:style>
  <w:style w:type="paragraph" w:styleId="ListContinue">
    <w:name w:val="List Continue"/>
    <w:basedOn w:val="Normal"/>
    <w:uiPriority w:val="99"/>
    <w:unhideWhenUsed/>
    <w:rsid w:val="0029639D"/>
    <w:pPr>
      <w:spacing w:after="120"/>
      <w:ind w:left="360"/>
      <w:contextualSpacing/>
    </w:pPr>
    <w:rPr>
      <w:rFonts w:ascii="Arial" w:hAnsi="Arial" w:eastAsia="PingFang SC"/>
      <w:color w:val="000000"/>
    </w:rPr>
  </w:style>
  <w:style w:type="paragraph" w:styleId="ListContinue2">
    <w:name w:val="List Continue 2"/>
    <w:basedOn w:val="Normal"/>
    <w:uiPriority w:val="99"/>
    <w:unhideWhenUsed/>
    <w:rsid w:val="0029639D"/>
    <w:pPr>
      <w:spacing w:after="120"/>
      <w:ind w:left="720"/>
      <w:contextualSpacing/>
    </w:pPr>
    <w:rPr>
      <w:rFonts w:ascii="Arial" w:hAnsi="Arial" w:eastAsia="PingFang SC"/>
      <w:color w:val="000000"/>
    </w:rPr>
  </w:style>
  <w:style w:type="paragraph" w:styleId="ListContinue3">
    <w:name w:val="List Continue 3"/>
    <w:basedOn w:val="Normal"/>
    <w:uiPriority w:val="99"/>
    <w:unhideWhenUsed/>
    <w:rsid w:val="0029639D"/>
    <w:pPr>
      <w:spacing w:after="120"/>
      <w:ind w:left="1080"/>
      <w:contextualSpacing/>
    </w:pPr>
    <w:rPr>
      <w:rFonts w:ascii="Arial" w:hAnsi="Arial" w:eastAsia="PingFang SC"/>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eastAsia="PingFang SC"/>
      <w:color w:val="000000"/>
      <w:sz w:val="20"/>
      <w:szCs w:val="20"/>
    </w:rPr>
  </w:style>
  <w:style w:type="character" w:customStyle="1" w:styleId="MacroTextChar">
    <w:name w:val="Macro Text Char"/>
    <w:basedOn w:val="DefaultParagraphFont"/>
    <w:link w:val="MacroText"/>
    <w:uiPriority w:val="99"/>
    <w:rsid w:val="0029639D"/>
    <w:rPr>
      <w:rFonts w:ascii="Arial" w:hAnsi="Arial" w:eastAsia="PingFang SC"/>
      <w:color w:val="000000"/>
      <w:sz w:val="20"/>
      <w:szCs w:val="20"/>
    </w:rPr>
  </w:style>
  <w:style w:type="paragraph" w:styleId="Quote">
    <w:name w:val="Quote"/>
    <w:basedOn w:val="Normal"/>
    <w:next w:val="Normal"/>
    <w:link w:val="QuoteChar"/>
    <w:uiPriority w:val="29"/>
    <w:qFormat/>
    <w:rsid w:val="00FC693F"/>
    <w:rPr>
      <w:rFonts w:ascii="Arial" w:hAnsi="Arial" w:eastAsia="PingFang SC"/>
      <w:i/>
      <w:iCs/>
      <w:color w:val="000000"/>
    </w:rPr>
  </w:style>
  <w:style w:type="character" w:customStyle="1" w:styleId="QuoteChar">
    <w:name w:val="Quote Char"/>
    <w:basedOn w:val="DefaultParagraphFont"/>
    <w:link w:val="Quote"/>
    <w:uiPriority w:val="29"/>
    <w:rsid w:val="00FC693F"/>
    <w:rPr>
      <w:rFonts w:ascii="Arial" w:hAnsi="Arial" w:eastAsia="PingFang SC"/>
      <w:i/>
      <w:iCs/>
      <w:color w:val="000000"/>
    </w:rPr>
  </w:style>
  <w:style w:type="character" w:customStyle="1" w:styleId="Heading4Char">
    <w:name w:val="Heading 4 Char"/>
    <w:basedOn w:val="DefaultParagraphFont"/>
    <w:link w:val="Heading4"/>
    <w:uiPriority w:val="9"/>
    <w:semiHidden/>
    <w:rsid w:val="00FC693F"/>
    <w:rPr>
      <w:rFonts w:ascii="Arial" w:hAnsi="Arial" w:eastAsia="PingFang SC"/>
      <w:b/>
      <w:bCs/>
      <w:i/>
      <w:iCs/>
      <w:color w:val="000000"/>
    </w:rPr>
  </w:style>
  <w:style w:type="character" w:customStyle="1" w:styleId="Heading5Char">
    <w:name w:val="Heading 5 Char"/>
    <w:basedOn w:val="DefaultParagraphFont"/>
    <w:link w:val="Heading5"/>
    <w:uiPriority w:val="9"/>
    <w:semiHidden/>
    <w:rsid w:val="00FC693F"/>
    <w:rPr>
      <w:rFonts w:ascii="Arial" w:hAnsi="Arial" w:eastAsia="PingFang SC"/>
      <w:color w:val="000000"/>
    </w:rPr>
  </w:style>
  <w:style w:type="character" w:customStyle="1" w:styleId="Heading6Char">
    <w:name w:val="Heading 6 Char"/>
    <w:basedOn w:val="DefaultParagraphFont"/>
    <w:link w:val="Heading6"/>
    <w:uiPriority w:val="9"/>
    <w:semiHidden/>
    <w:rsid w:val="00FC693F"/>
    <w:rPr>
      <w:rFonts w:ascii="Arial" w:hAnsi="Arial" w:eastAsia="PingFang SC"/>
      <w:i/>
      <w:iCs/>
      <w:color w:val="000000"/>
    </w:rPr>
  </w:style>
  <w:style w:type="character" w:customStyle="1" w:styleId="Heading7Char">
    <w:name w:val="Heading 7 Char"/>
    <w:basedOn w:val="DefaultParagraphFont"/>
    <w:link w:val="Heading7"/>
    <w:uiPriority w:val="9"/>
    <w:semiHidden/>
    <w:rsid w:val="00FC693F"/>
    <w:rPr>
      <w:rFonts w:ascii="Arial" w:hAnsi="Arial" w:eastAsia="PingFang SC"/>
      <w:i/>
      <w:iCs/>
      <w:color w:val="000000"/>
    </w:rPr>
  </w:style>
  <w:style w:type="character" w:customStyle="1" w:styleId="Heading8Char">
    <w:name w:val="Heading 8 Char"/>
    <w:basedOn w:val="DefaultParagraphFont"/>
    <w:link w:val="Heading8"/>
    <w:uiPriority w:val="9"/>
    <w:semiHidden/>
    <w:rsid w:val="00FC693F"/>
    <w:rPr>
      <w:rFonts w:ascii="Arial" w:hAnsi="Arial" w:eastAsia="PingFang SC"/>
      <w:color w:val="000000"/>
      <w:sz w:val="20"/>
      <w:szCs w:val="20"/>
    </w:rPr>
  </w:style>
  <w:style w:type="character" w:customStyle="1" w:styleId="Heading9Char">
    <w:name w:val="Heading 9 Char"/>
    <w:basedOn w:val="DefaultParagraphFont"/>
    <w:link w:val="Heading9"/>
    <w:uiPriority w:val="9"/>
    <w:semiHidden/>
    <w:rsid w:val="00FC693F"/>
    <w:rPr>
      <w:rFonts w:ascii="Arial" w:hAnsi="Arial" w:eastAsia="PingFang SC"/>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PingFang SC"/>
      <w:b/>
      <w:bCs/>
      <w:color w:val="000000"/>
      <w:sz w:val="18"/>
      <w:szCs w:val="18"/>
    </w:rPr>
  </w:style>
  <w:style w:type="character" w:styleId="Strong">
    <w:name w:val="Strong"/>
    <w:basedOn w:val="DefaultParagraphFont"/>
    <w:uiPriority w:val="22"/>
    <w:qFormat/>
    <w:rsid w:val="00FC693F"/>
    <w:rPr>
      <w:rFonts w:ascii="Arial" w:hAnsi="Arial" w:eastAsia="PingFang SC"/>
      <w:b/>
      <w:bCs/>
      <w:color w:val="000000"/>
    </w:rPr>
  </w:style>
  <w:style w:type="character" w:styleId="Emphasis">
    <w:name w:val="Emphasis"/>
    <w:basedOn w:val="DefaultParagraphFont"/>
    <w:uiPriority w:val="20"/>
    <w:qFormat/>
    <w:rsid w:val="00FC693F"/>
    <w:rPr>
      <w:rFonts w:ascii="Arial" w:hAnsi="Arial" w:eastAsia="PingFang SC"/>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rFonts w:ascii="Arial" w:hAnsi="Arial" w:eastAsia="PingFang SC"/>
      <w:b/>
      <w:bCs/>
      <w:i/>
      <w:iCs/>
      <w:color w:val="000000"/>
    </w:rPr>
  </w:style>
  <w:style w:type="character" w:customStyle="1" w:styleId="IntenseQuoteChar">
    <w:name w:val="Intense Quote Char"/>
    <w:basedOn w:val="DefaultParagraphFont"/>
    <w:link w:val="IntenseQuote"/>
    <w:uiPriority w:val="30"/>
    <w:rsid w:val="00FC693F"/>
    <w:rPr>
      <w:rFonts w:ascii="Arial" w:hAnsi="Arial" w:eastAsia="PingFang SC"/>
      <w:b/>
      <w:bCs/>
      <w:i/>
      <w:iCs/>
      <w:color w:val="000000"/>
    </w:rPr>
  </w:style>
  <w:style w:type="character" w:styleId="SubtleEmphasis">
    <w:name w:val="Subtle Emphasis"/>
    <w:basedOn w:val="DefaultParagraphFont"/>
    <w:uiPriority w:val="19"/>
    <w:qFormat/>
    <w:rsid w:val="00FC693F"/>
    <w:rPr>
      <w:rFonts w:ascii="Arial" w:hAnsi="Arial" w:eastAsia="PingFang SC"/>
      <w:i/>
      <w:iCs/>
      <w:color w:val="000000"/>
    </w:rPr>
  </w:style>
  <w:style w:type="character" w:styleId="IntenseEmphasis">
    <w:name w:val="Intense Emphasis"/>
    <w:basedOn w:val="DefaultParagraphFont"/>
    <w:uiPriority w:val="21"/>
    <w:qFormat/>
    <w:rsid w:val="00FC693F"/>
    <w:rPr>
      <w:rFonts w:ascii="Arial" w:hAnsi="Arial" w:eastAsia="PingFang SC"/>
      <w:b/>
      <w:bCs/>
      <w:i/>
      <w:iCs/>
      <w:color w:val="000000"/>
    </w:rPr>
  </w:style>
  <w:style w:type="character" w:styleId="SubtleReference">
    <w:name w:val="Subtle Reference"/>
    <w:basedOn w:val="DefaultParagraphFont"/>
    <w:uiPriority w:val="31"/>
    <w:qFormat/>
    <w:rsid w:val="00FC693F"/>
    <w:rPr>
      <w:rFonts w:ascii="Arial" w:hAnsi="Arial" w:eastAsia="PingFang SC"/>
      <w:smallCaps/>
      <w:color w:val="000000"/>
      <w:u w:val="single"/>
    </w:rPr>
  </w:style>
  <w:style w:type="character" w:styleId="IntenseReference">
    <w:name w:val="Intense Reference"/>
    <w:basedOn w:val="DefaultParagraphFont"/>
    <w:uiPriority w:val="32"/>
    <w:qFormat/>
    <w:rsid w:val="00FC693F"/>
    <w:rPr>
      <w:rFonts w:ascii="Arial" w:hAnsi="Arial" w:eastAsia="PingFang SC"/>
      <w:b/>
      <w:bCs/>
      <w:smallCaps/>
      <w:color w:val="000000"/>
      <w:spacing w:val="5"/>
      <w:u w:val="single"/>
    </w:rPr>
  </w:style>
  <w:style w:type="character" w:styleId="BookTitle">
    <w:name w:val="Book Title"/>
    <w:basedOn w:val="DefaultParagraphFont"/>
    <w:uiPriority w:val="33"/>
    <w:qFormat/>
    <w:rsid w:val="00FC693F"/>
    <w:rPr>
      <w:rFonts w:ascii="Arial" w:hAnsi="Arial" w:eastAsia="PingFang SC"/>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Arial" w:hAnsi="Arial" w:eastAsia="PingFang SC"/>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windgroove.com/products/windgroove-airfione#canshu" TargetMode="External"/><Relationship Id="rId10" Type="http://schemas.openxmlformats.org/officeDocument/2006/relationships/image" Target="media/image1.png"/><Relationship Id="rId11" Type="http://schemas.openxmlformats.org/officeDocument/2006/relationships/hyperlink" Target="https://www.windgroove.com/pages/installation" TargetMode="Externa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WindGroove Week 2 Website Change Guide</dc:title>
  <dc:subject>W05 to W08 edit locations replacement copy product inputs and acceptance</dc:subject>
  <dc:creator/>
  <cp:keywords/>
  <dc:description>generated by python-docx</dc:description>
  <cp:lastModifiedBy/>
  <cp:revision>1</cp:revision>
  <dcterms:created xsi:type="dcterms:W3CDTF"/>
  <dcterms:modified xsi:type="dcterms:W3CDTF"/>
  <cp:category/>
</cp:coreProperties>
</file>