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97cc4bb369ec04220023c9d86c080765590ea8"/>
      <w:r>
        <w:t xml:space="preserve">Meridian Cycles Ltd. — Annual Report FY 2025</w:t>
      </w:r>
      <w:bookmarkEnd w:id="20"/>
    </w:p>
    <w:p>
      <w:pPr>
        <w:pStyle w:val="Heading2"/>
      </w:pPr>
      <w:bookmarkStart w:id="21" w:name="letter-from-the-ceo"/>
      <w:r>
        <w:t xml:space="preserve">Letter from the CEO</w:t>
      </w:r>
      <w:bookmarkEnd w:id="21"/>
    </w:p>
    <w:p>
      <w:pPr>
        <w:pStyle w:val="FirstParagraph"/>
      </w:pPr>
      <w:r>
        <w:t xml:space="preserve">Dear shareholders, FY 2025 was the year Meridian stopped being a bicycle</w:t>
      </w:r>
      <w:r>
        <w:t xml:space="preserve"> </w:t>
      </w:r>
      <w:r>
        <w:t xml:space="preserve">company that experiments with cargo, and became a mobility company with a</w:t>
      </w:r>
      <w:r>
        <w:t xml:space="preserve"> </w:t>
      </w:r>
      <w:r>
        <w:t xml:space="preserve">bicycle heritage. Revenue grew 18% to ₹482 crore, our cargo segment grew</w:t>
      </w:r>
      <w:r>
        <w:t xml:space="preserve"> </w:t>
      </w:r>
      <w:r>
        <w:t xml:space="preserve">41%, and we shipped our one-millionth cycle in November — a red Meridian</w:t>
      </w:r>
      <w:r>
        <w:t xml:space="preserve"> </w:t>
      </w:r>
      <w:r>
        <w:t xml:space="preserve">Swift, bought by a schoolteacher in Vijayawada, whom we flew to our Pune</w:t>
      </w:r>
      <w:r>
        <w:t xml:space="preserve"> </w:t>
      </w:r>
      <w:r>
        <w:t xml:space="preserve">factory to ring the assembly bell. We also made mistakes this year, which</w:t>
      </w:r>
      <w:r>
        <w:t xml:space="preserve"> </w:t>
      </w:r>
      <w:r>
        <w:t xml:space="preserve">this report does not hide. — Priya Raghunathan, CEO</w:t>
      </w:r>
    </w:p>
    <w:p>
      <w:pPr>
        <w:pStyle w:val="Heading2"/>
      </w:pPr>
      <w:bookmarkStart w:id="22" w:name="company-overview"/>
      <w:r>
        <w:t xml:space="preserve">Company overview</w:t>
      </w:r>
      <w:bookmarkEnd w:id="22"/>
    </w:p>
    <w:p>
      <w:pPr>
        <w:pStyle w:val="FirstParagraph"/>
      </w:pPr>
      <w:r>
        <w:t xml:space="preserve">Meridian designs and manufactures city bicycles, electric cargo trikes,</w:t>
      </w:r>
      <w:r>
        <w:t xml:space="preserve"> </w:t>
      </w:r>
      <w:r>
        <w:t xml:space="preserve">and spare parts. Founded in Coimbatore in 1987 as a spoke supplier, the</w:t>
      </w:r>
      <w:r>
        <w:t xml:space="preserve"> </w:t>
      </w:r>
      <w:r>
        <w:t xml:space="preserve">company today operates two factories (Coimbatore and Pune), 240 dealer</w:t>
      </w:r>
      <w:r>
        <w:t xml:space="preserve"> </w:t>
      </w:r>
      <w:r>
        <w:t xml:space="preserve">partners, and a direct-to-consumer channel launched in 2023.</w:t>
      </w:r>
    </w:p>
    <w:p>
      <w:pPr>
        <w:pStyle w:val="Heading2"/>
      </w:pPr>
      <w:bookmarkStart w:id="23" w:name="financial-highlights"/>
      <w:r>
        <w:t xml:space="preserve">Financial highlights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 2024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 2025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left"/>
            </w:pPr>
            <w:r>
              <w:t xml:space="preserve">₹408 cr</w:t>
            </w:r>
          </w:p>
        </w:tc>
        <w:tc>
          <w:p>
            <w:pPr>
              <w:pStyle w:val="Compact"/>
              <w:jc w:val="left"/>
            </w:pPr>
            <w:r>
              <w:t xml:space="preserve">₹482 cr</w:t>
            </w:r>
          </w:p>
        </w:tc>
        <w:tc>
          <w:p>
            <w:pPr>
              <w:pStyle w:val="Compact"/>
              <w:jc w:val="left"/>
            </w:pPr>
            <w:r>
              <w:t xml:space="preserve">+18%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p>
            <w:pPr>
              <w:pStyle w:val="Compact"/>
              <w:jc w:val="left"/>
            </w:pPr>
            <w:r>
              <w:t xml:space="preserve">31.2%</w:t>
            </w:r>
          </w:p>
        </w:tc>
        <w:tc>
          <w:p>
            <w:pPr>
              <w:pStyle w:val="Compact"/>
              <w:jc w:val="left"/>
            </w:pPr>
            <w:r>
              <w:t xml:space="preserve">33.8%</w:t>
            </w:r>
          </w:p>
        </w:tc>
        <w:tc>
          <w:p>
            <w:pPr>
              <w:pStyle w:val="Compact"/>
              <w:jc w:val="left"/>
            </w:pPr>
            <w:r>
              <w:t xml:space="preserve">+2.6 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profit</w:t>
            </w:r>
          </w:p>
        </w:tc>
        <w:tc>
          <w:p>
            <w:pPr>
              <w:pStyle w:val="Compact"/>
              <w:jc w:val="left"/>
            </w:pPr>
            <w:r>
              <w:t xml:space="preserve">₹34 cr</w:t>
            </w:r>
          </w:p>
        </w:tc>
        <w:tc>
          <w:p>
            <w:pPr>
              <w:pStyle w:val="Compact"/>
              <w:jc w:val="left"/>
            </w:pPr>
            <w:r>
              <w:t xml:space="preserve">₹51 cr</w:t>
            </w:r>
          </w:p>
        </w:tc>
        <w:tc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reserves</w:t>
            </w:r>
          </w:p>
        </w:tc>
        <w:tc>
          <w:p>
            <w:pPr>
              <w:pStyle w:val="Compact"/>
              <w:jc w:val="left"/>
            </w:pPr>
            <w:r>
              <w:t xml:space="preserve">₹88 cr</w:t>
            </w:r>
          </w:p>
        </w:tc>
        <w:tc>
          <w:p>
            <w:pPr>
              <w:pStyle w:val="Compact"/>
              <w:jc w:val="left"/>
            </w:pPr>
            <w:r>
              <w:t xml:space="preserve">₹121 cr</w:t>
            </w:r>
          </w:p>
        </w:tc>
        <w:tc>
          <w:p>
            <w:pPr>
              <w:pStyle w:val="Compact"/>
              <w:jc w:val="left"/>
            </w:pPr>
            <w:r>
              <w:t xml:space="preserve">+38%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Debt</w:t>
            </w:r>
          </w:p>
        </w:tc>
        <w:tc>
          <w:p>
            <w:pPr>
              <w:pStyle w:val="Compact"/>
              <w:jc w:val="left"/>
            </w:pPr>
            <w:r>
              <w:t xml:space="preserve">₹42 cr</w:t>
            </w:r>
          </w:p>
        </w:tc>
        <w:tc>
          <w:p>
            <w:pPr>
              <w:pStyle w:val="Compact"/>
              <w:jc w:val="left"/>
            </w:pPr>
            <w:r>
              <w:t xml:space="preserve">₹28 cr</w:t>
            </w:r>
          </w:p>
        </w:tc>
        <w:tc>
          <w:p>
            <w:pPr>
              <w:pStyle w:val="Compact"/>
              <w:jc w:val="left"/>
            </w:pPr>
            <w:r>
              <w:t xml:space="preserve">−33%</w:t>
            </w:r>
          </w:p>
        </w:tc>
      </w:tr>
    </w:tbl>
    <w:p>
      <w:pPr>
        <w:pStyle w:val="Heading2"/>
      </w:pPr>
      <w:bookmarkStart w:id="24" w:name="segment-performance-city-bicycles"/>
      <w:r>
        <w:t xml:space="preserve">Segment performance: City bicycles</w:t>
      </w:r>
      <w:bookmarkEnd w:id="24"/>
    </w:p>
    <w:p>
      <w:pPr>
        <w:pStyle w:val="FirstParagraph"/>
      </w:pPr>
      <w:r>
        <w:t xml:space="preserve">Our core segment grew a modest 6% to ₹291 crore. The Swift and Swift Lite</w:t>
      </w:r>
      <w:r>
        <w:t xml:space="preserve"> </w:t>
      </w:r>
      <w:r>
        <w:t xml:space="preserve">remain the volume leaders. Average selling price rose 4% after we</w:t>
      </w:r>
      <w:r>
        <w:t xml:space="preserve"> </w:t>
      </w:r>
      <w:r>
        <w:t xml:space="preserve">discontinued the entry-level Sparrow line, a decision that cost us an</w:t>
      </w:r>
      <w:r>
        <w:t xml:space="preserve"> </w:t>
      </w:r>
      <w:r>
        <w:t xml:space="preserve">estimated 30,000 unit sales but improved segment margin by 1.9 points.</w:t>
      </w:r>
    </w:p>
    <w:p>
      <w:pPr>
        <w:pStyle w:val="Heading2"/>
      </w:pPr>
      <w:bookmarkStart w:id="25" w:name="segment-performance-cargo"/>
      <w:r>
        <w:t xml:space="preserve">Segment performance: Cargo</w:t>
      </w:r>
      <w:bookmarkEnd w:id="25"/>
    </w:p>
    <w:p>
      <w:pPr>
        <w:pStyle w:val="FirstParagraph"/>
      </w:pPr>
      <w:r>
        <w:t xml:space="preserve">Cargo is our growth engine: revenue of ₹127 crore, up 41% year on year.</w:t>
      </w:r>
      <w:r>
        <w:t xml:space="preserve"> </w:t>
      </w:r>
      <w:r>
        <w:t xml:space="preserve">The three-wheeled Mule electric trike now accounts for 71% of segment</w:t>
      </w:r>
      <w:r>
        <w:t xml:space="preserve"> </w:t>
      </w:r>
      <w:r>
        <w:t xml:space="preserve">revenue, driven by delivery-fleet orders from two national grocery</w:t>
      </w:r>
      <w:r>
        <w:t xml:space="preserve"> </w:t>
      </w:r>
      <w:r>
        <w:t xml:space="preserve">platforms. Fleet customers now represent 58% of cargo revenue — a</w:t>
      </w:r>
      <w:r>
        <w:t xml:space="preserve"> </w:t>
      </w:r>
      <w:r>
        <w:t xml:space="preserve">concentration risk we discuss candidly in the Risks section.</w:t>
      </w:r>
    </w:p>
    <w:p>
      <w:pPr>
        <w:pStyle w:val="Heading2"/>
      </w:pPr>
      <w:bookmarkStart w:id="26" w:name="segment-performance-spares-service"/>
      <w:r>
        <w:t xml:space="preserve">Segment performance: Spares &amp; service</w:t>
      </w:r>
      <w:bookmarkEnd w:id="26"/>
    </w:p>
    <w:p>
      <w:pPr>
        <w:pStyle w:val="FirstParagraph"/>
      </w:pPr>
      <w:r>
        <w:t xml:space="preserve">Spares grew 12% to ₹64 crore. Service subscriptions (</w:t>
      </w:r>
      <w:r>
        <w:t xml:space="preserve">“</w:t>
      </w:r>
      <w:r>
        <w:t xml:space="preserve">Meridian Care</w:t>
      </w:r>
      <w:r>
        <w:t xml:space="preserve">”</w:t>
      </w:r>
      <w:r>
        <w:t xml:space="preserve">)</w:t>
      </w:r>
      <w:r>
        <w:t xml:space="preserve"> </w:t>
      </w:r>
      <w:r>
        <w:t xml:space="preserve">crossed 100,000 active members. Attach rate at point of sale reached 27%,</w:t>
      </w:r>
      <w:r>
        <w:t xml:space="preserve"> </w:t>
      </w:r>
      <w:r>
        <w:t xml:space="preserve">up from 19%.</w:t>
      </w:r>
    </w:p>
    <w:p>
      <w:pPr>
        <w:pStyle w:val="Heading2"/>
      </w:pPr>
      <w:bookmarkStart w:id="27" w:name="regional-performance"/>
      <w:r>
        <w:t xml:space="preserve">Regional performance</w:t>
      </w:r>
      <w:bookmarkEnd w:id="27"/>
    </w:p>
    <w:p>
      <w:pPr>
        <w:pStyle w:val="FirstParagraph"/>
      </w:pPr>
      <w:r>
        <w:t xml:space="preserve">South India remains our stronghold at 52% of revenue. The North grew</w:t>
      </w:r>
      <w:r>
        <w:t xml:space="preserve"> </w:t>
      </w:r>
      <w:r>
        <w:t xml:space="preserve">fastest (+31%), led by Delhi NCR fleet deployments. Exports — Sri Lanka,</w:t>
      </w:r>
      <w:r>
        <w:t xml:space="preserve"> </w:t>
      </w:r>
      <w:r>
        <w:t xml:space="preserve">Nepal, and a pilot in Kenya — contributed ₹18 crore, our first year above</w:t>
      </w:r>
      <w:r>
        <w:t xml:space="preserve"> </w:t>
      </w:r>
      <w:r>
        <w:t xml:space="preserve">the ₹15 crore threshold that triggers a dedicated export division under</w:t>
      </w:r>
      <w:r>
        <w:t xml:space="preserve"> </w:t>
      </w:r>
      <w:r>
        <w:t xml:space="preserve">our internal charter.</w:t>
      </w:r>
    </w:p>
    <w:p>
      <w:pPr>
        <w:pStyle w:val="Heading2"/>
      </w:pPr>
      <w:bookmarkStart w:id="28" w:name="sustainability"/>
      <w:r>
        <w:t xml:space="preserve">Sustainability</w:t>
      </w:r>
      <w:bookmarkEnd w:id="28"/>
    </w:p>
    <w:p>
      <w:pPr>
        <w:pStyle w:val="FirstParagraph"/>
      </w:pPr>
      <w:r>
        <w:t xml:space="preserve">The Pune factory now runs on 62% solar power (target: 80% by FY 2027).</w:t>
      </w:r>
      <w:r>
        <w:t xml:space="preserve"> </w:t>
      </w:r>
      <w:r>
        <w:t xml:space="preserve">We eliminated single-use plastics from packaging in March. Our</w:t>
      </w:r>
      <w:r>
        <w:t xml:space="preserve"> </w:t>
      </w:r>
      <w:r>
        <w:t xml:space="preserve">take-back-and-refurbish program collected 8,400 old cycles, of which</w:t>
      </w:r>
      <w:r>
        <w:t xml:space="preserve"> </w:t>
      </w:r>
      <w:r>
        <w:t xml:space="preserve">6,100 were refurbished and donated to school mobility programs through</w:t>
      </w:r>
      <w:r>
        <w:t xml:space="preserve"> </w:t>
      </w:r>
      <w:r>
        <w:t xml:space="preserve">the Meridian Foundation.</w:t>
      </w:r>
    </w:p>
    <w:p>
      <w:pPr>
        <w:pStyle w:val="Heading2"/>
      </w:pPr>
      <w:bookmarkStart w:id="29" w:name="people"/>
      <w:r>
        <w:t xml:space="preserve">People</w:t>
      </w:r>
      <w:bookmarkEnd w:id="29"/>
    </w:p>
    <w:p>
      <w:pPr>
        <w:pStyle w:val="FirstParagraph"/>
      </w:pPr>
      <w:r>
        <w:t xml:space="preserve">Headcount grew from 1,840 to 2,015. Voluntary attrition fell to 9%, the</w:t>
      </w:r>
      <w:r>
        <w:t xml:space="preserve"> </w:t>
      </w:r>
      <w:r>
        <w:t xml:space="preserve">lowest in company history, which we attribute to the four-day workweek</w:t>
      </w:r>
      <w:r>
        <w:t xml:space="preserve"> </w:t>
      </w:r>
      <w:r>
        <w:t xml:space="preserve">pilot in the Coimbatore plant — retained permanently after productivity</w:t>
      </w:r>
      <w:r>
        <w:t xml:space="preserve"> </w:t>
      </w:r>
      <w:r>
        <w:t xml:space="preserve">rose 3% during the trial. Women now hold 31% of supervisory roles, up</w:t>
      </w:r>
      <w:r>
        <w:t xml:space="preserve"> </w:t>
      </w:r>
      <w:r>
        <w:t xml:space="preserve">from 24%.</w:t>
      </w:r>
    </w:p>
    <w:p>
      <w:pPr>
        <w:pStyle w:val="Heading2"/>
      </w:pPr>
      <w:bookmarkStart w:id="30" w:name="risks-and-what-worries-us"/>
      <w:r>
        <w:t xml:space="preserve">Risks and what worries us</w:t>
      </w:r>
      <w:bookmarkEnd w:id="30"/>
    </w:p>
    <w:p>
      <w:pPr>
        <w:pStyle w:val="FirstParagraph"/>
      </w:pPr>
      <w:r>
        <w:t xml:space="preserve">Three risks keep management up at night. First, fleet concentration: two</w:t>
      </w:r>
      <w:r>
        <w:t xml:space="preserve"> </w:t>
      </w:r>
      <w:r>
        <w:t xml:space="preserve">customers are 58% of cargo revenue; losing either would erase most of the</w:t>
      </w:r>
      <w:r>
        <w:t xml:space="preserve"> </w:t>
      </w:r>
      <w:r>
        <w:t xml:space="preserve">segment’s growth. Second, lithium cell supply: 87% of our cells come from</w:t>
      </w:r>
      <w:r>
        <w:t xml:space="preserve"> </w:t>
      </w:r>
      <w:r>
        <w:t xml:space="preserve">a single Taiwanese supplier; we have signed a second-source agreement in</w:t>
      </w:r>
      <w:r>
        <w:t xml:space="preserve"> </w:t>
      </w:r>
      <w:r>
        <w:t xml:space="preserve">Gujarat that begins deliveries in Q3 FY 2026. Third, regulatory: proposed</w:t>
      </w:r>
      <w:r>
        <w:t xml:space="preserve"> </w:t>
      </w:r>
      <w:r>
        <w:t xml:space="preserve">e-trike classification rules could require licensing that dampens fleet</w:t>
      </w:r>
      <w:r>
        <w:t xml:space="preserve"> </w:t>
      </w:r>
      <w:r>
        <w:t xml:space="preserve">demand. We have submitted comments to the ministry and planned a</w:t>
      </w:r>
      <w:r>
        <w:t xml:space="preserve"> </w:t>
      </w:r>
      <w:r>
        <w:t xml:space="preserve">pedal-assist variant as a hedge.</w:t>
      </w:r>
    </w:p>
    <w:p>
      <w:pPr>
        <w:pStyle w:val="Heading2"/>
      </w:pPr>
      <w:bookmarkStart w:id="31" w:name="the-mistake-we-made-this-year"/>
      <w:r>
        <w:t xml:space="preserve">The mistake we made this year</w:t>
      </w:r>
      <w:bookmarkEnd w:id="31"/>
    </w:p>
    <w:p>
      <w:pPr>
        <w:pStyle w:val="FirstParagraph"/>
      </w:pPr>
      <w:r>
        <w:t xml:space="preserve">We over-forecast festive-season demand and built 22,000 units of</w:t>
      </w:r>
      <w:r>
        <w:t xml:space="preserve"> </w:t>
      </w:r>
      <w:r>
        <w:t xml:space="preserve">inventory that took five months to clear at reduced margin, costing</w:t>
      </w:r>
      <w:r>
        <w:t xml:space="preserve"> </w:t>
      </w:r>
      <w:r>
        <w:t xml:space="preserve">approximately ₹9 crore in profit. The planning process now includes a</w:t>
      </w:r>
      <w:r>
        <w:t xml:space="preserve"> </w:t>
      </w:r>
      <w:r>
        <w:t xml:space="preserve">dealer pre-order signal and a hard cap on speculative builds.</w:t>
      </w:r>
    </w:p>
    <w:p>
      <w:pPr>
        <w:pStyle w:val="Heading2"/>
      </w:pPr>
      <w:bookmarkStart w:id="32" w:name="outlook-for-fy-2026"/>
      <w:r>
        <w:t xml:space="preserve">Outlook for FY 2026</w:t>
      </w:r>
      <w:bookmarkEnd w:id="32"/>
    </w:p>
    <w:p>
      <w:pPr>
        <w:pStyle w:val="FirstParagraph"/>
      </w:pPr>
      <w:r>
        <w:t xml:space="preserve">We guide to revenue of ₹560–580 crore, cargo crossing ₹180 crore, and</w:t>
      </w:r>
      <w:r>
        <w:t xml:space="preserve"> </w:t>
      </w:r>
      <w:r>
        <w:t xml:space="preserve">the launch of the Mule Mini, a narrow-lane variant designed for old-city</w:t>
      </w:r>
      <w:r>
        <w:t xml:space="preserve"> </w:t>
      </w:r>
      <w:r>
        <w:t xml:space="preserve">logistics. Capital expenditure of ₹45 crore is planned, of which ₹30</w:t>
      </w:r>
      <w:r>
        <w:t xml:space="preserve"> </w:t>
      </w:r>
      <w:r>
        <w:t xml:space="preserve">crore is for the Pune paint shop expansion.</w:t>
      </w:r>
    </w:p>
    <w:p>
      <w:pPr>
        <w:pStyle w:val="Heading2"/>
      </w:pPr>
      <w:bookmarkStart w:id="33" w:name="dividend"/>
      <w:r>
        <w:t xml:space="preserve">Dividend</w:t>
      </w:r>
      <w:bookmarkEnd w:id="33"/>
    </w:p>
    <w:p>
      <w:pPr>
        <w:pStyle w:val="FirstParagraph"/>
      </w:pPr>
      <w:r>
        <w:t xml:space="preserve">The board recommends a dividend of ₹6 per share (FY 2024: ₹4.50),</w:t>
      </w:r>
      <w:r>
        <w:t xml:space="preserve"> </w:t>
      </w:r>
      <w:r>
        <w:t xml:space="preserve">a payout ratio of 24%.</w:t>
      </w:r>
    </w:p>
    <w:p>
      <w:pPr>
        <w:pStyle w:val="Heading2"/>
      </w:pPr>
      <w:bookmarkStart w:id="34" w:name="board-of-directors"/>
      <w:r>
        <w:t xml:space="preserve">Board of directors</w:t>
      </w:r>
      <w:bookmarkEnd w:id="34"/>
    </w:p>
    <w:p>
      <w:pPr>
        <w:pStyle w:val="FirstParagraph"/>
      </w:pPr>
      <w:r>
        <w:t xml:space="preserve">The board comprises nine members, four independent. Ms. Anjali Verma</w:t>
      </w:r>
      <w:r>
        <w:t xml:space="preserve"> </w:t>
      </w:r>
      <w:r>
        <w:t xml:space="preserve">joined as independent director, bringing supply-chain expertise from her</w:t>
      </w:r>
      <w:r>
        <w:t xml:space="preserve"> </w:t>
      </w:r>
      <w:r>
        <w:t xml:space="preserve">tenure at a national logistics firm. The board met eleven times; average</w:t>
      </w:r>
      <w:r>
        <w:t xml:space="preserve"> </w:t>
      </w:r>
      <w:r>
        <w:t xml:space="preserve">attendance was 92%.</w:t>
      </w:r>
    </w:p>
    <w:p>
      <w:pPr>
        <w:pStyle w:val="Heading2"/>
      </w:pPr>
      <w:bookmarkStart w:id="35" w:name="auditors-note"/>
      <w:r>
        <w:t xml:space="preserve">Auditor’s note</w:t>
      </w:r>
      <w:bookmarkEnd w:id="35"/>
    </w:p>
    <w:p>
      <w:pPr>
        <w:pStyle w:val="FirstParagraph"/>
      </w:pPr>
      <w:r>
        <w:t xml:space="preserve">The statutory auditors issued an unqualified opinion. One key audit</w:t>
      </w:r>
      <w:r>
        <w:t xml:space="preserve"> </w:t>
      </w:r>
      <w:r>
        <w:t xml:space="preserve">matter: revenue recognition on fleet contracts with volume rebates, which</w:t>
      </w:r>
      <w:r>
        <w:t xml:space="preserve"> </w:t>
      </w:r>
      <w:r>
        <w:t xml:space="preserve">the auditors tested by recalculating rebate provisions across all</w:t>
      </w:r>
      <w:r>
        <w:t xml:space="preserve"> </w:t>
      </w:r>
      <w:r>
        <w:t xml:space="preserve">contracts above ₹1 crore.</w:t>
      </w:r>
    </w:p>
    <w:p>
      <w:pPr>
        <w:pStyle w:val="Heading2"/>
      </w:pPr>
      <w:bookmarkStart w:id="36" w:name="five-year-financial-summary"/>
      <w:r>
        <w:t xml:space="preserve">Five-year financial summary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(₹ cr)</w:t>
            </w:r>
          </w:p>
        </w:tc>
        <w:tc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p>
            <w:pPr>
              <w:pStyle w:val="Compact"/>
              <w:jc w:val="left"/>
            </w:pPr>
            <w:r>
              <w:t xml:space="preserve">408</w:t>
            </w:r>
          </w:p>
        </w:tc>
        <w:tc>
          <w:p>
            <w:pPr>
              <w:pStyle w:val="Compact"/>
              <w:jc w:val="left"/>
            </w:pPr>
            <w:r>
              <w:t xml:space="preserve">482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profit (₹ cr)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p>
            <w:pPr>
              <w:pStyle w:val="Compact"/>
              <w:jc w:val="left"/>
            </w:pPr>
            <w:r>
              <w:t xml:space="preserve">7.3%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Units sold (’000)</w:t>
            </w:r>
          </w:p>
        </w:tc>
        <w:tc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p>
            <w:pPr>
              <w:pStyle w:val="Compact"/>
              <w:jc w:val="left"/>
            </w:pPr>
            <w:r>
              <w:t xml:space="preserve">226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Dividend/share</w:t>
            </w:r>
          </w:p>
        </w:tc>
        <w:tc>
          <w:p>
            <w:pPr>
              <w:pStyle w:val="Compact"/>
              <w:jc w:val="left"/>
            </w:pPr>
            <w:r>
              <w:t xml:space="preserve">₹1.50</w:t>
            </w:r>
          </w:p>
        </w:tc>
        <w:tc>
          <w:p>
            <w:pPr>
              <w:pStyle w:val="Compact"/>
              <w:jc w:val="left"/>
            </w:pPr>
            <w:r>
              <w:t xml:space="preserve">₹2</w:t>
            </w:r>
          </w:p>
        </w:tc>
        <w:tc>
          <w:p>
            <w:pPr>
              <w:pStyle w:val="Compact"/>
              <w:jc w:val="left"/>
            </w:pPr>
            <w:r>
              <w:t xml:space="preserve">₹3</w:t>
            </w:r>
          </w:p>
        </w:tc>
        <w:tc>
          <w:p>
            <w:pPr>
              <w:pStyle w:val="Compact"/>
              <w:jc w:val="left"/>
            </w:pPr>
            <w:r>
              <w:t xml:space="preserve">₹4.50</w:t>
            </w:r>
          </w:p>
        </w:tc>
        <w:tc>
          <w:p>
            <w:pPr>
              <w:pStyle w:val="Compact"/>
              <w:jc w:val="left"/>
            </w:pPr>
            <w:r>
              <w:t xml:space="preserve">₹6</w:t>
            </w:r>
          </w:p>
        </w:tc>
      </w:tr>
    </w:tbl>
    <w:p>
      <w:pPr>
        <w:pStyle w:val="Heading2"/>
      </w:pPr>
      <w:bookmarkStart w:id="37" w:name="quarterly-performance"/>
      <w:r>
        <w:t xml:space="preserve">Quarterly performance</w:t>
      </w:r>
      <w:bookmarkEnd w:id="37"/>
    </w:p>
    <w:p>
      <w:pPr>
        <w:pStyle w:val="FirstParagraph"/>
      </w:pPr>
      <w:r>
        <w:t xml:space="preserve">Q1 was our weakest quarter (₹98 crore) due to the inventory overhang</w:t>
      </w:r>
      <w:r>
        <w:t xml:space="preserve"> </w:t>
      </w:r>
      <w:r>
        <w:t xml:space="preserve">described earlier. Q2 recovered to ₹118 crore on fleet deliveries. Q3,</w:t>
      </w:r>
      <w:r>
        <w:t xml:space="preserve"> </w:t>
      </w:r>
      <w:r>
        <w:t xml:space="preserve">containing the festive season, remains the largest at ₹146 crore despite</w:t>
      </w:r>
      <w:r>
        <w:t xml:space="preserve"> </w:t>
      </w:r>
      <w:r>
        <w:t xml:space="preserve">the forecasting miss. Q4 closed at ₹120 crore with the strongest margin</w:t>
      </w:r>
      <w:r>
        <w:t xml:space="preserve"> </w:t>
      </w:r>
      <w:r>
        <w:t xml:space="preserve">of the year (35.1% gross) as the discounted inventory cleared out.</w:t>
      </w:r>
    </w:p>
    <w:p>
      <w:pPr>
        <w:pStyle w:val="Heading2"/>
      </w:pPr>
      <w:bookmarkStart w:id="38" w:name="product-development"/>
      <w:r>
        <w:t xml:space="preserve">Product development</w:t>
      </w:r>
      <w:bookmarkEnd w:id="38"/>
    </w:p>
    <w:p>
      <w:pPr>
        <w:pStyle w:val="FirstParagraph"/>
      </w:pPr>
      <w:r>
        <w:t xml:space="preserve">R&amp;D expense rose to ₹19 crore (3.9% of revenue). The year’s major</w:t>
      </w:r>
      <w:r>
        <w:t xml:space="preserve"> </w:t>
      </w:r>
      <w:r>
        <w:t xml:space="preserve">program was the Mule Mini: 14 months from concept to production-ready,</w:t>
      </w:r>
      <w:r>
        <w:t xml:space="preserve"> </w:t>
      </w:r>
      <w:r>
        <w:t xml:space="preserve">including 40,000 km of loaded road testing across Chennai’s old town,</w:t>
      </w:r>
      <w:r>
        <w:t xml:space="preserve"> </w:t>
      </w:r>
      <w:r>
        <w:t xml:space="preserve">Varanasi’s ghavat lanes, and Shillong’s gradients. Two programs were</w:t>
      </w:r>
      <w:r>
        <w:t xml:space="preserve"> </w:t>
      </w:r>
      <w:r>
        <w:t xml:space="preserve">cancelled: a carbon-frame road bike (unit economics never closed) and a</w:t>
      </w:r>
      <w:r>
        <w:t xml:space="preserve"> </w:t>
      </w:r>
      <w:r>
        <w:t xml:space="preserve">subscription swap-battery scheme (regulatory uncertainty). We consider</w:t>
      </w:r>
      <w:r>
        <w:t xml:space="preserve"> </w:t>
      </w:r>
      <w:r>
        <w:t xml:space="preserve">disciplined cancellation a feature of our process, not a failure of it.</w:t>
      </w:r>
    </w:p>
    <w:p>
      <w:pPr>
        <w:pStyle w:val="Heading2"/>
      </w:pPr>
      <w:bookmarkStart w:id="39" w:name="manufacturing-and-supply-chain"/>
      <w:r>
        <w:t xml:space="preserve">Manufacturing and supply chain</w:t>
      </w:r>
      <w:bookmarkEnd w:id="39"/>
    </w:p>
    <w:p>
      <w:pPr>
        <w:pStyle w:val="FirstParagraph"/>
      </w:pPr>
      <w:r>
        <w:t xml:space="preserve">The Coimbatore plant produced 141,000 units at 91% capacity utilization;</w:t>
      </w:r>
      <w:r>
        <w:t xml:space="preserve"> </w:t>
      </w:r>
      <w:r>
        <w:t xml:space="preserve">Pune produced 85,000 units at 76%. Supplier count was reduced from 214</w:t>
      </w:r>
      <w:r>
        <w:t xml:space="preserve"> </w:t>
      </w:r>
      <w:r>
        <w:t xml:space="preserve">to 168 as part of the quality consolidation program; incoming defect</w:t>
      </w:r>
      <w:r>
        <w:t xml:space="preserve"> </w:t>
      </w:r>
      <w:r>
        <w:t xml:space="preserve">rates fell 22%. Steel and aluminium prices were stable, but lithium cells</w:t>
      </w:r>
      <w:r>
        <w:t xml:space="preserve"> </w:t>
      </w:r>
      <w:r>
        <w:t xml:space="preserve">rose 9% — partially hedged by the annual contract signed in April. The</w:t>
      </w:r>
      <w:r>
        <w:t xml:space="preserve"> </w:t>
      </w:r>
      <w:r>
        <w:t xml:space="preserve">Gujarat second-source cell agreement covers up to 30% of projected FY27</w:t>
      </w:r>
      <w:r>
        <w:t xml:space="preserve"> </w:t>
      </w:r>
      <w:r>
        <w:t xml:space="preserve">cell demand.</w:t>
      </w:r>
    </w:p>
    <w:p>
      <w:pPr>
        <w:pStyle w:val="Heading2"/>
      </w:pPr>
      <w:bookmarkStart w:id="40" w:name="digital-and-direct-to-consumer"/>
      <w:r>
        <w:t xml:space="preserve">Digital and direct-to-consumer</w:t>
      </w:r>
      <w:bookmarkEnd w:id="40"/>
    </w:p>
    <w:p>
      <w:pPr>
        <w:pStyle w:val="FirstParagraph"/>
      </w:pPr>
      <w:r>
        <w:t xml:space="preserve">The D2C channel reached ₹41 crore (8.5% of revenue) in its second year.</w:t>
      </w:r>
      <w:r>
        <w:t xml:space="preserve"> </w:t>
      </w:r>
      <w:r>
        <w:t xml:space="preserve">The Meridian app crossed 400,000 installs; connected-bike features</w:t>
      </w:r>
      <w:r>
        <w:t xml:space="preserve"> </w:t>
      </w:r>
      <w:r>
        <w:t xml:space="preserve">(trip logging, theft alerts) are attached to 64% of premium-model sales.</w:t>
      </w:r>
      <w:r>
        <w:t xml:space="preserve"> </w:t>
      </w:r>
      <w:r>
        <w:t xml:space="preserve">Website-to-dealer referrals — where a customer configures online and</w:t>
      </w:r>
      <w:r>
        <w:t xml:space="preserve"> </w:t>
      </w:r>
      <w:r>
        <w:t xml:space="preserve">collects at a dealer — grew 3x and now represent our highest-conversion</w:t>
      </w:r>
      <w:r>
        <w:t xml:space="preserve"> </w:t>
      </w:r>
      <w:r>
        <w:t xml:space="preserve">funnel, which is why FY26 investment favours dealer-integration tooling</w:t>
      </w:r>
      <w:r>
        <w:t xml:space="preserve"> </w:t>
      </w:r>
      <w:r>
        <w:t xml:space="preserve">over pure e-commerce.</w:t>
      </w:r>
    </w:p>
    <w:p>
      <w:pPr>
        <w:pStyle w:val="Heading2"/>
      </w:pPr>
      <w:bookmarkStart w:id="41" w:name="corporate-social-responsibility"/>
      <w:r>
        <w:t xml:space="preserve">Corporate social responsibility</w:t>
      </w:r>
      <w:bookmarkEnd w:id="41"/>
    </w:p>
    <w:p>
      <w:pPr>
        <w:pStyle w:val="FirstParagraph"/>
      </w:pPr>
      <w:r>
        <w:t xml:space="preserve">CSR spend was ₹1.4 crore, meeting the statutory 2% requirement. Flagship</w:t>
      </w:r>
      <w:r>
        <w:t xml:space="preserve"> </w:t>
      </w:r>
      <w:r>
        <w:t xml:space="preserve">programs: cycle-to-school grants (6,100 refurbished cycles donated),</w:t>
      </w:r>
      <w:r>
        <w:t xml:space="preserve"> </w:t>
      </w:r>
      <w:r>
        <w:t xml:space="preserve">mechanic apprenticeships for 240 rural youth (78% job placement), and</w:t>
      </w:r>
      <w:r>
        <w:t xml:space="preserve"> </w:t>
      </w:r>
      <w:r>
        <w:t xml:space="preserve">road-safety workshops reaching 45,000 schoolchildren. The board’s CSR</w:t>
      </w:r>
      <w:r>
        <w:t xml:space="preserve"> </w:t>
      </w:r>
      <w:r>
        <w:t xml:space="preserve">committee met four times and conducted two field audits.</w:t>
      </w:r>
    </w:p>
    <w:p>
      <w:pPr>
        <w:pStyle w:val="Heading2"/>
      </w:pPr>
      <w:bookmarkStart w:id="42" w:name="shareholding-pattern"/>
      <w:r>
        <w:t xml:space="preserve">Shareholding pattern</w:t>
      </w:r>
      <w:bookmarkEnd w:id="42"/>
    </w:p>
    <w:p>
      <w:pPr>
        <w:pStyle w:val="FirstParagraph"/>
      </w:pPr>
      <w:r>
        <w:t xml:space="preserve">Promoter holding stands at 51.2% (unchanged). Institutional investors</w:t>
      </w:r>
      <w:r>
        <w:t xml:space="preserve"> </w:t>
      </w:r>
      <w:r>
        <w:t xml:space="preserve">hold 22.4%, up from 18.9%, following two domestic mutual fund entries.</w:t>
      </w:r>
      <w:r>
        <w:t xml:space="preserve"> </w:t>
      </w:r>
      <w:r>
        <w:t xml:space="preserve">Retail shareholders number 48,000, our highest ever. No shares are</w:t>
      </w:r>
      <w:r>
        <w:t xml:space="preserve"> </w:t>
      </w:r>
      <w:r>
        <w:t xml:space="preserve">pledged. The employee stock option pool has 3.1% outstanding, with the</w:t>
      </w:r>
      <w:r>
        <w:t xml:space="preserve"> </w:t>
      </w:r>
      <w:r>
        <w:t xml:space="preserve">FY25 grant covering 380 employees down to the supervisor level for the</w:t>
      </w:r>
      <w:r>
        <w:t xml:space="preserve"> </w:t>
      </w:r>
      <w:r>
        <w:t xml:space="preserve">first time.</w:t>
      </w:r>
    </w:p>
    <w:p>
      <w:pPr>
        <w:pStyle w:val="Heading2"/>
      </w:pPr>
      <w:bookmarkStart w:id="43" w:name="awards-and-recognition"/>
      <w:r>
        <w:t xml:space="preserve">Awards and recognition</w:t>
      </w:r>
      <w:bookmarkEnd w:id="43"/>
    </w:p>
    <w:p>
      <w:pPr>
        <w:pStyle w:val="FirstParagraph"/>
      </w:pPr>
      <w:r>
        <w:t xml:space="preserve">Meridian received the National Design Award for the Mule cargo platform,</w:t>
      </w:r>
      <w:r>
        <w:t xml:space="preserve"> </w:t>
      </w:r>
      <w:r>
        <w:t xml:space="preserve">was named Supplier of the Year by our largest grocery fleet customer,</w:t>
      </w:r>
      <w:r>
        <w:t xml:space="preserve"> </w:t>
      </w:r>
      <w:r>
        <w:t xml:space="preserve">and entered the</w:t>
      </w:r>
      <w:r>
        <w:t xml:space="preserve"> </w:t>
      </w:r>
      <w:r>
        <w:t xml:space="preserve">“</w:t>
      </w:r>
      <w:r>
        <w:t xml:space="preserve">Great Place to Work</w:t>
      </w:r>
      <w:r>
        <w:t xml:space="preserve">”</w:t>
      </w:r>
      <w:r>
        <w:t xml:space="preserve"> </w:t>
      </w:r>
      <w:r>
        <w:t xml:space="preserve">list at rank 74. The Pune plant’s</w:t>
      </w:r>
      <w:r>
        <w:t xml:space="preserve"> </w:t>
      </w:r>
      <w:r>
        <w:t xml:space="preserve">solar installation won the state renewable-energy award for industrial</w:t>
      </w:r>
      <w:r>
        <w:t xml:space="preserve"> </w:t>
      </w:r>
      <w:r>
        <w:t xml:space="preserve">retrofits.</w:t>
      </w:r>
    </w:p>
    <w:p>
      <w:pPr>
        <w:pStyle w:val="Heading2"/>
      </w:pPr>
      <w:bookmarkStart w:id="44" w:name="management-discussion-competition"/>
      <w:r>
        <w:t xml:space="preserve">Management discussion: competition</w:t>
      </w:r>
      <w:bookmarkEnd w:id="44"/>
    </w:p>
    <w:p>
      <w:pPr>
        <w:pStyle w:val="FirstParagraph"/>
      </w:pPr>
      <w:r>
        <w:t xml:space="preserve">Competitive intensity increased. Two e-mobility startups launched cargo</w:t>
      </w:r>
      <w:r>
        <w:t xml:space="preserve"> </w:t>
      </w:r>
      <w:r>
        <w:t xml:space="preserve">trikes at prices 15–20% below the Mule; both currently lose money per</w:t>
      </w:r>
      <w:r>
        <w:t xml:space="preserve"> </w:t>
      </w:r>
      <w:r>
        <w:t xml:space="preserve">unit, a strategy we cannot and will not match. Our response is service</w:t>
      </w:r>
      <w:r>
        <w:t xml:space="preserve"> </w:t>
      </w:r>
      <w:r>
        <w:t xml:space="preserve">coverage — 240 dealer workshops against their combined 31 service</w:t>
      </w:r>
      <w:r>
        <w:t xml:space="preserve"> </w:t>
      </w:r>
      <w:r>
        <w:t xml:space="preserve">points — and total-cost-of-ownership selling to fleet buyers, where our</w:t>
      </w:r>
      <w:r>
        <w:t xml:space="preserve"> </w:t>
      </w:r>
      <w:r>
        <w:t xml:space="preserve">38% lower three-year maintenance cost decides tenders. We lost two</w:t>
      </w:r>
      <w:r>
        <w:t xml:space="preserve"> </w:t>
      </w:r>
      <w:r>
        <w:t xml:space="preserve">municipal tenders on sticker price this year and won five fleet renewals</w:t>
      </w:r>
      <w:r>
        <w:t xml:space="preserve"> </w:t>
      </w:r>
      <w:r>
        <w:t xml:space="preserve">on TCO; we are content with that trade."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2026-07-17T11:20:41Z</dcterms:created>
  <dcterms:modified xsi:type="dcterms:W3CDTF">2026-07-17T11:20:41Z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