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70c2fb4c334500" /><Relationship Type="http://schemas.openxmlformats.org/package/2006/relationships/metadata/core-properties" Target="/package/services/metadata/core-properties/e286a24f1f114f629beefa0d20347f67.psmdcp" Id="R42ea09bb07bd43c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Supplementary Tables</w:t>
      </w:r>
    </w:p>
    <w:p>
      <w:pPr>
        <w:pStyle w:val="Normal"/>
        <w:spacing w:after="35" w:line="210" w:lineRule="auto"/>
      </w:pPr>
      <w:r>
        <w:rPr>
          <w:b/>
        </w:rPr>
        <w:t xml:space="preserve">Manuscript ID: </w:t>
      </w:r>
      <w:r>
        <w:t xml:space="preserve">electronics-4413038</w:t>
      </w:r>
    </w:p>
    <w:p>
      <w:pPr>
        <w:pStyle w:val="Normal"/>
        <w:spacing w:after="35" w:line="210" w:lineRule="auto"/>
      </w:pPr>
      <w:r>
        <w:rPr>
          <w:b/>
        </w:rPr>
        <w:t xml:space="preserve">Title: </w:t>
      </w:r>
      <w:r>
        <w:t xml:space="preserve">P3: Persistence-Aware Admission Control for DoS-Resilient BLE Resolvable Private Address Resolution</w:t>
      </w:r>
    </w:p>
    <w:p>
      <w:pPr>
        <w:pStyle w:val="Normal"/>
      </w:pPr>
      <w:r>
        <w:t xml:space="preserve">The tables below report deterministic simulator outputs. They do not constitute measured BLE controller timing, packet-loss, energy, or production-firmware evidence. The accompanying reviewer artifact archive contains the seed-level summaries, configurations, manifests, audit tables, and reproduction scripts.</w:t>
      </w:r>
    </w:p>
    <w:p>
      <w:pPr>
        <w:pStyle w:val="Heading1"/>
      </w:pPr>
      <w:r>
        <w:t>Supplementary Table S1</w:t>
      </w:r>
    </w:p>
    <w:p>
      <w:pPr>
        <w:pStyle w:val="Caption"/>
      </w:pPr>
      <w:r>
        <w:t xml:space="preserve">Supplementary Table S1. Complete long-window validation results for N = 512 and RL = 8 (1800-second runs; 300-second warmup; n = 3 seed means for each scenario/method pair).</w:t>
      </w:r>
    </w:p>
    <w:tbl>
      <w:tblPr>
        <w:tblStyle w:val="TableGrid"/>
        <w:tblW w:w="15538" w:type="dxa"/>
        <w:tblLayout w:type="fixed"/>
        <w:jc w:val="center"/>
        <w:tblBorders>
          <w:top w:val="single" w:color="000000" w:sz="8"/>
          <w:left w:val="single" w:color="B7B7B7" w:sz="4"/>
          <w:bottom w:val="single" w:color="000000" w:sz="8"/>
          <w:right w:val="single" w:color="B7B7B7" w:sz="4"/>
          <w:insideH w:val="single" w:color="D0D0D0" w:sz="4"/>
          <w:insideV w:val="single" w:color="D0D0D0" w:sz="4"/>
        </w:tblBorders>
        <w:tblCellMar>
          <w:top w:w="24" w:type="dxa"/>
          <w:start w:w="42" w:type="dxa"/>
          <w:bottom w:w="24" w:type="dxa"/>
          <w:end w:w="42" w:type="dxa"/>
        </w:tblCellMar>
      </w:tblPr>
      <w:tblGrid>
        <w:gridCol w:w="3378"/>
        <w:gridCol w:w="3153"/>
        <w:gridCol w:w="901"/>
        <w:gridCol w:w="1802"/>
        <w:gridCol w:w="2702"/>
        <w:gridCol w:w="1802"/>
        <w:gridCol w:w="1800"/>
      </w:tblGrid>
      <w:tr>
        <w:trPr>
          <w:tblHeader/>
          <w:cantSplit/>
        </w:trPr>
        <w:tc>
          <w:tcPr>
            <w:tcW w:w="3378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Scenario</w:t>
            </w:r>
          </w:p>
        </w:tc>
        <w:tc>
          <w:tcPr>
            <w:tcW w:w="3153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Method</w:t>
            </w:r>
          </w:p>
        </w:tc>
        <w:tc>
          <w:tcPr>
            <w:tcW w:w="901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n</w:t>
            </w:r>
          </w:p>
        </w:tc>
        <w:tc>
          <w:tcPr>
            <w:tcW w:w="180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Attack/min</w:t>
            </w:r>
          </w:p>
        </w:tc>
        <w:tc>
          <w:tcPr>
            <w:tcW w:w="270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Attack AES/min</w:t>
            </w:r>
          </w:p>
        </w:tc>
        <w:tc>
          <w:tcPr>
            <w:tcW w:w="180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Legit rate</w:t>
            </w:r>
          </w:p>
        </w:tc>
        <w:tc>
          <w:tcPr>
            <w:tcW w:w="1800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False defer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45192.00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0.5233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0.4767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45198.72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0.5602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0.4403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P3-NoBudget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5035658.88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0.0088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P3-NoCache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45192.00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0.5233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0.4774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StaticRL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5035658.88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0.0000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ZephyrCache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5035658.88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0.0000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43874.88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0.5809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0.4191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44593.92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0.7554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0.2459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P3-NoBudget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502353.60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0.0072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P3-NoCache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43874.88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0.5809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0.4211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StaticRL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502353.60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0.0000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ZephyrCache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502353.60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0.0000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normal_capacity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0.00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0.8814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0.1186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normal_capacity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0.00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0.9855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0.0234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normal_capacity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P3-NoBudget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0.00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0.0096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normal_capacity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P3-NoCache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0.00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0.8814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0.1388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normal_capacity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StaticRL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0.00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0.0000</w:t>
            </w:r>
          </w:p>
        </w:tc>
      </w:tr>
      <w:tr>
        <w:trPr>
          <w:cantSplit/>
        </w:trPr>
        <w:tc>
          <w:tcPr>
            <w:tcW w:w="3378" w:type="dxa"/>
            <w:vAlign w:val="center"/>
          </w:tcPr>
          <w:p>
            <w:pPr>
              <w:pStyle w:val="TableText"/>
            </w:pPr>
            <w:r>
              <w:t xml:space="preserve">normal_capacity</w:t>
            </w:r>
          </w:p>
        </w:tc>
        <w:tc>
          <w:tcPr>
            <w:tcW w:w="3153" w:type="dxa"/>
            <w:vAlign w:val="center"/>
          </w:tcPr>
          <w:p>
            <w:pPr>
              <w:pStyle w:val="TableText"/>
            </w:pPr>
            <w:r>
              <w:t xml:space="preserve">ZephyrCache</w:t>
            </w:r>
          </w:p>
        </w:tc>
        <w:tc>
          <w:tcPr>
            <w:tcW w:w="901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02" w:type="dxa"/>
            <w:vAlign w:val="center"/>
          </w:tcPr>
          <w:p>
            <w:pPr>
              <w:pStyle w:val="TableText"/>
            </w:pPr>
            <w:r>
              <w:t xml:space="preserve">0.00</w:t>
            </w:r>
          </w:p>
        </w:tc>
        <w:tc>
          <w:tcPr>
            <w:tcW w:w="1802" w:type="dxa"/>
            <w:vAlign w:val="center"/>
          </w:tcPr>
          <w:p>
            <w:pPr>
              <w:pStyle w:val="TableText"/>
            </w:pPr>
            <w:r>
              <w:t xml:space="preserve">1.0000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0.0000</w:t>
            </w:r>
          </w:p>
        </w:tc>
      </w:tr>
    </w:tbl>
    <w:p>
      <w:pPr>
        <w:pStyle w:val="Heading1"/>
        <w:pageBreakBefore/>
      </w:pPr>
      <w:r>
        <w:t>Supplementary Table S2</w:t>
      </w:r>
    </w:p>
    <w:p>
      <w:pPr>
        <w:pStyle w:val="Caption"/>
      </w:pPr>
      <w:r>
        <w:t xml:space="preserve">Supplementary Table S2. Paired modeled-observable privacy audit (20 paired seeds per load/filter condition). The external proxy contains defer rate, mean modeled delay, and p95 modeled delay.</w:t>
      </w:r>
    </w:p>
    <w:tbl>
      <w:tblPr>
        <w:tblStyle w:val="TableGrid"/>
        <w:tblW w:w="15538" w:type="dxa"/>
        <w:tblLayout w:type="fixed"/>
        <w:jc w:val="center"/>
        <w:tblBorders>
          <w:top w:val="single" w:color="000000" w:sz="8"/>
          <w:left w:val="single" w:color="B7B7B7" w:sz="4"/>
          <w:bottom w:val="single" w:color="000000" w:sz="8"/>
          <w:right w:val="single" w:color="B7B7B7" w:sz="4"/>
          <w:insideH w:val="single" w:color="D0D0D0" w:sz="4"/>
          <w:insideV w:val="single" w:color="D0D0D0" w:sz="4"/>
        </w:tblBorders>
        <w:tblCellMar>
          <w:top w:w="24" w:type="dxa"/>
          <w:start w:w="42" w:type="dxa"/>
          <w:bottom w:w="24" w:type="dxa"/>
          <w:end w:w="42" w:type="dxa"/>
        </w:tblCellMar>
      </w:tblPr>
      <w:tblGrid>
        <w:gridCol w:w="2762"/>
        <w:gridCol w:w="1036"/>
        <w:gridCol w:w="2762"/>
        <w:gridCol w:w="1151"/>
        <w:gridCol w:w="2532"/>
        <w:gridCol w:w="2302"/>
        <w:gridCol w:w="2993"/>
      </w:tblGrid>
      <w:tr>
        <w:trPr>
          <w:tblHeader/>
          <w:cantSplit/>
        </w:trPr>
        <w:tc>
          <w:tcPr>
            <w:tcW w:w="276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Load</w:t>
            </w:r>
          </w:p>
        </w:tc>
        <w:tc>
          <w:tcPr>
            <w:tcW w:w="1036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Δ (s)</w:t>
            </w:r>
          </w:p>
        </w:tc>
        <w:tc>
          <w:tcPr>
            <w:tcW w:w="276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Method</w:t>
            </w:r>
          </w:p>
        </w:tc>
        <w:tc>
          <w:tcPr>
            <w:tcW w:w="1151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Pairs</w:t>
            </w:r>
          </w:p>
        </w:tc>
        <w:tc>
          <w:tcPr>
            <w:tcW w:w="253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Initial audit</w:t>
            </w:r>
          </w:p>
        </w:tc>
        <w:tc>
          <w:tcPr>
            <w:tcW w:w="230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External-proxy AUC</w:t>
            </w:r>
          </w:p>
        </w:tc>
        <w:tc>
          <w:tcPr>
            <w:tcW w:w="2993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Bootstrap 95% CI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no_attack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1.000000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1.000000–1.000000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no_attack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1.000000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1.000000–1.000000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no_attack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no_attack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no_attack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no_attack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1.000000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1.000000–1.000000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1.000000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1.000000–1.000000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medium_flood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P3-NoPersist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  <w:tr>
        <w:trPr>
          <w:cantSplit/>
        </w:trPr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heavy_flood</w:t>
            </w:r>
          </w:p>
        </w:tc>
        <w:tc>
          <w:tcPr>
            <w:tcW w:w="1036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762" w:type="dxa"/>
            <w:vAlign w:val="center"/>
          </w:tcPr>
          <w:p>
            <w:pPr>
              <w:pStyle w:val="TableText"/>
            </w:pPr>
            <w:r>
              <w:t xml:space="preserve">BudgetDoS</w:t>
            </w:r>
          </w:p>
        </w:tc>
        <w:tc>
          <w:tcPr>
            <w:tcW w:w="1151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532" w:type="dxa"/>
            <w:vAlign w:val="center"/>
          </w:tcPr>
          <w:p>
            <w:pPr>
              <w:pStyle w:val="TableText"/>
            </w:pPr>
            <w:r>
              <w:t xml:space="preserve">All matched</w:t>
            </w:r>
          </w:p>
        </w:tc>
        <w:tc>
          <w:tcPr>
            <w:tcW w:w="2302" w:type="dxa"/>
            <w:vAlign w:val="center"/>
          </w:tcPr>
          <w:p>
            <w:pPr>
              <w:pStyle w:val="TableText"/>
            </w:pPr>
            <w:r>
              <w:t xml:space="preserve">0.500000</w:t>
            </w:r>
          </w:p>
        </w:tc>
        <w:tc>
          <w:tcPr>
            <w:tcW w:w="2993" w:type="dxa"/>
            <w:vAlign w:val="center"/>
          </w:tcPr>
          <w:p>
            <w:pPr>
              <w:pStyle w:val="TableText"/>
            </w:pPr>
            <w:r>
              <w:t xml:space="preserve">0.500000–0.500000</w:t>
            </w:r>
          </w:p>
        </w:tc>
      </w:tr>
    </w:tbl>
    <w:p>
      <w:pPr>
        <w:pStyle w:val="Note"/>
      </w:pPr>
      <w:r>
        <w:t xml:space="preserve">Note: Every paired job used identical visible timestamp, RSSI, payload-length, RPA-value, repetition-pattern, load, and duplicate-filter inputs; only the offline identity label and normal resolution outcome differed. ‘All matched’ refers only to the tested initial pre-resolution decision. AUC values are simulator-derived modeled-proxy results and do not establish real end-to-end side-channel freedom. Full paired effects and internal mechanism diagnostics are supplied as CSV artifacts.</w:t>
      </w:r>
    </w:p>
    <w:p>
      <w:pPr>
        <w:pStyle w:val="Heading1"/>
        <w:pageBreakBefore/>
      </w:pPr>
      <w:r>
        <w:t>Supplementary Table S3</w:t>
      </w:r>
    </w:p>
    <w:p>
      <w:pPr>
        <w:pStyle w:val="Caption"/>
      </w:pPr>
      <w:r>
        <w:t xml:space="preserve">Supplementary Table S3. P3-Persist joint RPA-epoch, modeled observation-loss, and benign-unknown boundary (20 seeds per cell).</w:t>
      </w:r>
    </w:p>
    <w:tbl>
      <w:tblPr>
        <w:tblStyle w:val="TableGrid"/>
        <w:tblW w:w="15538" w:type="dxa"/>
        <w:tblLayout w:type="fixed"/>
        <w:jc w:val="center"/>
        <w:tblBorders>
          <w:top w:val="single" w:color="000000" w:sz="8"/>
          <w:left w:val="single" w:color="B7B7B7" w:sz="4"/>
          <w:bottom w:val="single" w:color="000000" w:sz="8"/>
          <w:right w:val="single" w:color="B7B7B7" w:sz="4"/>
          <w:insideH w:val="single" w:color="D0D0D0" w:sz="4"/>
          <w:insideV w:val="single" w:color="D0D0D0" w:sz="4"/>
        </w:tblBorders>
        <w:tblCellMar>
          <w:top w:w="24" w:type="dxa"/>
          <w:start w:w="42" w:type="dxa"/>
          <w:bottom w:w="24" w:type="dxa"/>
          <w:end w:w="42" w:type="dxa"/>
        </w:tblCellMar>
      </w:tblPr>
      <w:tblGrid>
        <w:gridCol w:w="2844"/>
        <w:gridCol w:w="1117"/>
        <w:gridCol w:w="1016"/>
        <w:gridCol w:w="1523"/>
        <w:gridCol w:w="1625"/>
        <w:gridCol w:w="1726"/>
        <w:gridCol w:w="1726"/>
        <w:gridCol w:w="1930"/>
        <w:gridCol w:w="2031"/>
      </w:tblGrid>
      <w:tr>
        <w:trPr>
          <w:tblHeader/>
          <w:cantSplit/>
        </w:trPr>
        <w:tc>
          <w:tcPr>
            <w:tcW w:w="2844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Cell</w:t>
            </w:r>
          </w:p>
        </w:tc>
        <w:tc>
          <w:tcPr>
            <w:tcW w:w="1117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Epoch (min)</w:t>
            </w:r>
          </w:p>
        </w:tc>
        <w:tc>
          <w:tcPr>
            <w:tcW w:w="1016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Loss</w:t>
            </w:r>
          </w:p>
        </w:tc>
        <w:tc>
          <w:tcPr>
            <w:tcW w:w="1523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Benign/min</w:t>
            </w:r>
          </w:p>
        </w:tc>
        <w:tc>
          <w:tcPr>
            <w:tcW w:w="1625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Benign mode</w:t>
            </w:r>
          </w:p>
        </w:tc>
        <w:tc>
          <w:tcPr>
            <w:tcW w:w="1726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Offered legit</w:t>
            </w:r>
          </w:p>
        </w:tc>
        <w:tc>
          <w:tcPr>
            <w:tcW w:w="1726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Observed legit</w:t>
            </w:r>
          </w:p>
        </w:tc>
        <w:tc>
          <w:tcPr>
            <w:tcW w:w="1930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Observed false defer</w:t>
            </w:r>
          </w:p>
        </w:tc>
        <w:tc>
          <w:tcPr>
            <w:tcW w:w="2031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Attack AES/min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0.705290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0.705290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0.300297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49,655.088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0.706148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0.706148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0.299293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45,647.280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0.707047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0.707047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0.298758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33,449.472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0.553429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0.689848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0.315029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49,688.352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0.550571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0.689817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0.315005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45,647.280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0.552805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0.690178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0.315520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33,413.184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0.400575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0.668126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0.336391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49,645.008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0.405555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0.673816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0.331320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45,566.640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0.402741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0.671334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0.333547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33,477.696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0.853841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0.853841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0.153106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49,708.512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0.853017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0.853017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0.153234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45,707.760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0.854705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0.854705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0.152061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33,468.624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0.664156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0.832467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0.174574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49,724.640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0.664427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0.831558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0.175253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45,674.496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0.664345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0.832450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0.174659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33,453.504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0.482583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0.802174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0.205532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49,714.560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0.486090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0.802804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0.204807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45,687.600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0.482278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0.803271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0.204016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33,516.000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0.955313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0.955313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0.050653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49,783.104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0.955667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0.955667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0.049741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45,765.216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0.955484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0.955484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0.049787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33,497.856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0.756427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0.943452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0.062871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49,778.064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0.754612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0.943871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0.061772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45,754.128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0.755108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0.943666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0.061952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33,430.320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0.557582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0.926261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0.079763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49,792.176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0.556241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0.925610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0.079613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45,778.320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main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0.555045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0.926269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0.079337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33,287.184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control: no_attack_baseline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100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0.988384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0.988384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0.018666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0.000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control: no_attack_worst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0.406062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0.674463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0.330103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0.000</w:t>
            </w:r>
          </w:p>
        </w:tc>
      </w:tr>
      <w:tr>
        <w:trPr>
          <w:cantSplit/>
        </w:trPr>
        <w:tc>
          <w:tcPr>
            <w:tcW w:w="2844" w:type="dxa"/>
            <w:vAlign w:val="center"/>
          </w:tcPr>
          <w:p>
            <w:pPr>
              <w:pStyle w:val="TableText"/>
            </w:pPr>
            <w:r>
              <w:t xml:space="preserve">control: repeated_benign_worst</w:t>
            </w:r>
          </w:p>
        </w:tc>
        <w:tc>
          <w:tcPr>
            <w:tcW w:w="1117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016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523" w:type="dxa"/>
            <w:vAlign w:val="center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1625" w:type="dxa"/>
            <w:vAlign w:val="center"/>
          </w:tcPr>
          <w:p>
            <w:pPr>
              <w:pStyle w:val="TableText"/>
            </w:pPr>
            <w:r>
              <w:t xml:space="preserve">repeated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0.345137</w:t>
            </w:r>
          </w:p>
        </w:tc>
        <w:tc>
          <w:tcPr>
            <w:tcW w:w="1726" w:type="dxa"/>
            <w:vAlign w:val="center"/>
          </w:tcPr>
          <w:p>
            <w:pPr>
              <w:pStyle w:val="TableText"/>
            </w:pPr>
            <w:r>
              <w:t xml:space="preserve">0.575279</w:t>
            </w:r>
          </w:p>
        </w:tc>
        <w:tc>
          <w:tcPr>
            <w:tcW w:w="1930" w:type="dxa"/>
            <w:vAlign w:val="center"/>
          </w:tcPr>
          <w:p>
            <w:pPr>
              <w:pStyle w:val="TableText"/>
            </w:pPr>
            <w:r>
              <w:t xml:space="preserve">0.425083</w:t>
            </w:r>
          </w:p>
        </w:tc>
        <w:tc>
          <w:tcPr>
            <w:tcW w:w="2031" w:type="dxa"/>
            <w:vAlign w:val="center"/>
          </w:tcPr>
          <w:p>
            <w:pPr>
              <w:pStyle w:val="TableText"/>
            </w:pPr>
            <w:r>
              <w:t xml:space="preserve">33,466.608</w:t>
            </w:r>
          </w:p>
        </w:tc>
      </w:tr>
    </w:tbl>
    <w:p>
      <w:pPr>
        <w:pStyle w:val="Note"/>
      </w:pPr>
      <w:r>
        <w:t xml:space="preserve">Note: The 27 main cells use 10000 attack RPAs/min and unique benign addresses. The three controls are the no-attack baseline, the no-attack adverse boundary, and the attacked repeated-benign adverse boundary. Observation loss is applied by the simulator after event generation and before scheduling; it is a controlled proxy for missed observations, not measured BLE packet loss. Generated-but-unobserved legitimate events remain in the offered denominator.</w:t>
      </w:r>
    </w:p>
    <w:p>
      <w:pPr>
        <w:pStyle w:val="Heading1"/>
        <w:pageBreakBefore/>
      </w:pPr>
      <w:r>
        <w:t>Supplementary Table S4</w:t>
      </w:r>
    </w:p>
    <w:p>
      <w:pPr>
        <w:pStyle w:val="Caption"/>
      </w:pPr>
      <w:r>
        <w:t xml:space="preserve">Supplementary Table S4. Twenty-seed confirmation of the preregistered adaptive local-search union.</w:t>
      </w:r>
    </w:p>
    <w:tbl>
      <w:tblPr>
        <w:tblStyle w:val="TableGrid"/>
        <w:tblW w:w="15538" w:type="dxa"/>
        <w:tblLayout w:type="fixed"/>
        <w:jc w:val="center"/>
        <w:tblBorders>
          <w:top w:val="single" w:color="000000" w:sz="8"/>
          <w:left w:val="single" w:color="B7B7B7" w:sz="4"/>
          <w:bottom w:val="single" w:color="000000" w:sz="8"/>
          <w:right w:val="single" w:color="B7B7B7" w:sz="4"/>
          <w:insideH w:val="single" w:color="D0D0D0" w:sz="4"/>
          <w:insideV w:val="single" w:color="D0D0D0" w:sz="4"/>
        </w:tblBorders>
        <w:tblCellMar>
          <w:top w:w="24" w:type="dxa"/>
          <w:start w:w="42" w:type="dxa"/>
          <w:bottom w:w="24" w:type="dxa"/>
          <w:end w:w="42" w:type="dxa"/>
        </w:tblCellMar>
      </w:tblPr>
      <w:tblGrid>
        <w:gridCol w:w="749"/>
        <w:gridCol w:w="749"/>
        <w:gridCol w:w="2808"/>
        <w:gridCol w:w="749"/>
        <w:gridCol w:w="1872"/>
        <w:gridCol w:w="2902"/>
        <w:gridCol w:w="1310"/>
        <w:gridCol w:w="1404"/>
        <w:gridCol w:w="1404"/>
        <w:gridCol w:w="1591"/>
      </w:tblGrid>
      <w:tr>
        <w:trPr>
          <w:tblHeader/>
          <w:cantSplit/>
        </w:trPr>
        <w:tc>
          <w:tcPr>
            <w:tcW w:w="749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Δ (s)</w:t>
            </w:r>
          </w:p>
        </w:tc>
        <w:tc>
          <w:tcPr>
            <w:tcW w:w="749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Rank</w:t>
            </w:r>
          </w:p>
        </w:tc>
        <w:tc>
          <w:tcPr>
            <w:tcW w:w="2808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Strategy</w:t>
            </w:r>
          </w:p>
        </w:tc>
        <w:tc>
          <w:tcPr>
            <w:tcW w:w="749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n</w:t>
            </w:r>
          </w:p>
        </w:tc>
        <w:tc>
          <w:tcPr>
            <w:tcW w:w="187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Attack AES/min</w:t>
            </w:r>
          </w:p>
        </w:tc>
        <w:tc>
          <w:tcPr>
            <w:tcW w:w="2902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95% CI</w:t>
            </w:r>
          </w:p>
        </w:tc>
        <w:tc>
          <w:tcPr>
            <w:tcW w:w="1310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Mean/cap</w:t>
            </w:r>
          </w:p>
        </w:tc>
        <w:tc>
          <w:tcPr>
            <w:tcW w:w="1404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Legit rate</w:t>
            </w:r>
          </w:p>
        </w:tc>
        <w:tc>
          <w:tcPr>
            <w:tcW w:w="1404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False defer</w:t>
            </w:r>
          </w:p>
        </w:tc>
        <w:tc>
          <w:tcPr>
            <w:tcW w:w="1591" w:type="dxa"/>
            <w:vAlign w:val="center"/>
            <w:shd w:val="clear" w:color="auto" w:fill="D9EAF7"/>
          </w:tcPr>
          <w:p>
            <w:pPr>
              <w:pStyle w:val="TableHeader"/>
            </w:pPr>
            <w:r>
              <w:t xml:space="preserve">Removable fraction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224, r=1,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r=1, p=105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r=1,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r=1, p=135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r=2,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p=105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p=135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p=75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p=90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146,162.016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145,986.621–146,337.411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0.640442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0.360126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45,765.216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45,606.392–45,924.040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0.302680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0.955667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0.049741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p=75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146,196.288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146,018.171–146,374.405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0.966907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0.674902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0.325627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0.970628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p=135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146,195.280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146,015.168–146,375.392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0.966900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0.675190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0.325339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0.970628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p=90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146,193.264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146,014.002–146,372.526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0.966887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0.674165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0.326364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0.970629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p=105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146,192.256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146,012.078–146,372.434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0.966880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0.673834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0.326695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0.970628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320, r=1,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146,192.256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146,012.078–146,372.434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0.966880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0.673232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0.327297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0.970628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r=2,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129,012.912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128,998.080–129,027.744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0.853260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0.929699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0.075611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0.974394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r=1, p=105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129,001.824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128,989.618–129,014.030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0.853187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0.928646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0.076663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0.974396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r=1, p=135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128,980.656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128,961.472–128,999.840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0.853047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0.928646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0.076663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0.974401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256, r=1,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128,962.512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128,939.305–128,985.719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0.852927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0.928646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0.076663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0.974403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pool 224, r=1, p=120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112,821.408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112,799.312–112,843.504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0.746173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0.928646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0.076663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0.977607</w:t>
            </w:r>
          </w:p>
        </w:tc>
      </w:tr>
      <w:tr>
        <w:trPr>
          <w:cantSplit/>
        </w:trPr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749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45,758.160</w:t>
            </w:r>
          </w:p>
        </w:tc>
        <w:tc>
          <w:tcPr>
            <w:tcW w:w="2902" w:type="dxa"/>
            <w:vAlign w:val="center"/>
          </w:tcPr>
          <w:p>
            <w:pPr>
              <w:pStyle w:val="TableText"/>
            </w:pPr>
            <w:r>
              <w:t xml:space="preserve">45,597.956–45,918.364</w:t>
            </w:r>
          </w:p>
        </w:tc>
        <w:tc>
          <w:tcPr>
            <w:tcW w:w="1310" w:type="dxa"/>
            <w:vAlign w:val="center"/>
          </w:tcPr>
          <w:p>
            <w:pPr>
              <w:pStyle w:val="TableText"/>
            </w:pPr>
            <w:r>
              <w:t xml:space="preserve">0.302633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0.928646</w:t>
            </w:r>
          </w:p>
        </w:tc>
        <w:tc>
          <w:tcPr>
            <w:tcW w:w="1404" w:type="dxa"/>
            <w:vAlign w:val="center"/>
          </w:tcPr>
          <w:p>
            <w:pPr>
              <w:pStyle w:val="TableText"/>
            </w:pPr>
            <w:r>
              <w:t xml:space="preserve">0.076663</w:t>
            </w:r>
          </w:p>
        </w:tc>
        <w:tc>
          <w:tcPr>
            <w:tcW w:w="1591" w:type="dxa"/>
            <w:vAlign w:val="center"/>
          </w:tcPr>
          <w:p>
            <w:pPr>
              <w:pStyle w:val="TableText"/>
            </w:pPr>
            <w:r>
              <w:t xml:space="preserve">0.000000</w:t>
            </w:r>
          </w:p>
        </w:tc>
      </w:tr>
    </w:tbl>
    <w:p>
      <w:pPr>
        <w:pStyle w:val="Note"/>
      </w:pPr>
      <w:r>
        <w:t xml:space="preserve">Note: The confirmation union contains the mechanically selected top five, the historical reference, five single-axis neighbors, and the unique-address baseline after deduplication. The complete 168-strategy, five-seed screening table is supplied as adaptive_local_screen_complete.csv. Overlapping confidence intervals identify a tied damaging local region; the search does not establish a global or unique attacker optimum. The cap is 151,200 AES-equivalent attempts/min for the stated modeled parameters.</w:t>
      </w:r>
    </w:p>
    <w:sectPr>
      <w:footerReference xmlns:r="http://schemas.openxmlformats.org/officeDocument/2006/relationships" w:type="default" r:id="R4d0445e702814129"/>
      <w:pgSz w:w="16838" w:h="11906" w:orient="landscape"/>
      <w:pgMar w:top="650" w:right="650" w:bottom="650" w:left="65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4"/>
      </w:rPr>
      <w:t xml:space="preserve">Page </w:t>
    </w:r>
    <w:fldSimple w:instr="PAGE">
      <w:r>
        <w:rPr>
          <w:sz w:val="14"/>
        </w:rPr>
        <w:t>1</w:t>
      </w:r>
    </w:fldSimple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sz w:val="18"/>
        <w:szCs w:val="18"/>
        <w:color w:val="000000"/>
        <w:lang w:val="en-US" w:eastAsia="zh-CN"/>
      </w:rPr>
    </w:rPrDefault>
    <w:pPrDefault>
      <w:pPr>
        <w:spacing w:after="80" w:line="220" w:lineRule="auto"/>
      </w:pPr>
    </w:pPrDefault>
  </w:docDefaults>
  <w:style w:type="paragraph" w:styleId="Normal" w:default="true">
    <w:name w:val="Normal"/>
    <w:pPr>
      <w:spacing w:after="80" w:line="220" w:lineRule="auto"/>
    </w:pPr>
  </w:style>
  <w:style w:type="paragraph" w:styleId="Title">
    <w:name w:val="Supplementary Title"/>
    <w:pPr>
      <w:jc w:val="left"/>
      <w:spacing w:before="0" w:after="160"/>
    </w:pPr>
    <w:rPr>
      <w:b/>
      <w:color w:val="174A67"/>
      <w:sz w:val="32"/>
      <w:szCs w:val="32"/>
    </w:rPr>
  </w:style>
  <w:style w:type="paragraph" w:styleId="Heading1">
    <w:name w:val="Supplementary Heading"/>
    <w:pPr>
      <w:keepNext/>
      <w:keepLines/>
      <w:outlineLvl w:val="0"/>
      <w:spacing w:before="160" w:after="60"/>
    </w:pPr>
    <w:rPr>
      <w:b/>
      <w:color w:val="174A67"/>
      <w:sz w:val="22"/>
      <w:szCs w:val="22"/>
    </w:rPr>
  </w:style>
  <w:style w:type="paragraph" w:styleId="Caption">
    <w:name w:val="Table Caption"/>
    <w:pPr>
      <w:keepNext/>
      <w:spacing w:before="0" w:after="50" w:line="200" w:lineRule="auto"/>
    </w:pPr>
    <w:rPr>
      <w:b/>
      <w:sz w:val="17"/>
      <w:szCs w:val="17"/>
    </w:rPr>
  </w:style>
  <w:style w:type="paragraph" w:styleId="Note">
    <w:name w:val="Supplementary Note"/>
    <w:pPr>
      <w:keepLines/>
      <w:spacing w:before="45" w:after="80" w:line="190" w:lineRule="auto"/>
    </w:pPr>
    <w:rPr>
      <w:i/>
      <w:sz w:val="15"/>
      <w:szCs w:val="15"/>
    </w:rPr>
  </w:style>
  <w:style w:type="paragraph" w:styleId="TableText">
    <w:name w:val="Table Text"/>
    <w:pPr>
      <w:spacing w:before="0" w:after="0" w:line="175" w:lineRule="auto"/>
      <w:jc w:val="center"/>
    </w:pPr>
    <w:rPr>
      <w:sz w:val="14"/>
      <w:szCs w:val="14"/>
    </w:rPr>
  </w:style>
  <w:style w:type="paragraph" w:styleId="TableHeader">
    <w:name w:val="Table Header"/>
    <w:basedOn w:val="TableText"/>
    <w:pPr>
      <w:spacing w:before="0" w:after="0" w:line="175" w:lineRule="auto"/>
      <w:jc w:val="center"/>
    </w:pPr>
    <w:rPr>
      <w:b/>
      <w:sz w:val="14"/>
      <w:szCs w:val="14"/>
    </w:rPr>
  </w:style>
  <w:style w:type="table" w:styleId="TableGrid" w:default="true">
    <w:name w:val="Table Grid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8463ec6c5c94fde" /><Relationship Type="http://schemas.openxmlformats.org/officeDocument/2006/relationships/settings" Target="/word/settings.xml" Id="Rfe5ab79bcce5440e" /><Relationship Type="http://schemas.openxmlformats.org/officeDocument/2006/relationships/footer" Target="/word/footer1.xml" Id="R4d0445e702814129" /></Relationships>
</file>