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4: Backup Strategies</w:t>
      </w:r>
    </w:p>
    <w:p/>
    <w:p>
      <w:r>
        <w:rPr/>
      </w:r>
      <w:r>
        <w:rPr/>
      </w:r>
      <w:r>
        <w:rPr/>
      </w:r>
      <w:r>
        <w:rPr>
          <w:rFonts w:ascii="Arial" w:hAnsi="Arial"/>
          <w:b/>
          <w:sz w:val="28"/>
        </w:rPr>
        <w:t>Practices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for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Lesson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4</w:t>
      </w:r>
    </w:p>
    <w:p>
      <w:r>
        <w:rPr/>
      </w:r>
    </w:p>
    <w:p/>
    <w:p/>
    <w:p>
      <w:r>
        <w:rPr>
          <w:rFonts w:ascii="Arial" w:hAnsi="Arial"/>
        </w:rPr>
        <w:t>There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Lesson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4.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