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7C8A" w14:textId="77777777" w:rsidR="0009560F" w:rsidRDefault="00000000">
      <w:pPr>
        <w:rPr>
          <w:rFonts w:ascii="Times New Roman" w:hAnsi="Times New Roman" w:cs="Times New Roman"/>
          <w:b/>
          <w:bCs/>
          <w:sz w:val="24"/>
          <w:szCs w:val="28"/>
        </w:rPr>
      </w:pPr>
      <w:r>
        <w:rPr>
          <w:rFonts w:ascii="Times New Roman" w:hAnsi="Times New Roman" w:cs="Times New Roman"/>
          <w:b/>
          <w:bCs/>
          <w:sz w:val="24"/>
          <w:szCs w:val="28"/>
        </w:rPr>
        <w:t>G. Deep Dive Into a Key Gene: EGFR</w:t>
      </w:r>
    </w:p>
    <w:p w14:paraId="61737B2B" w14:textId="77777777" w:rsidR="0009560F" w:rsidRDefault="00000000">
      <w:pPr>
        <w:rPr>
          <w:rFonts w:ascii="Times New Roman" w:hAnsi="Times New Roman" w:cs="Times New Roman"/>
          <w:b/>
          <w:bCs/>
          <w:sz w:val="24"/>
          <w:szCs w:val="28"/>
        </w:rPr>
      </w:pPr>
      <w:r>
        <w:rPr>
          <w:rFonts w:ascii="Times New Roman" w:hAnsi="Times New Roman" w:cs="Times New Roman"/>
          <w:b/>
          <w:bCs/>
          <w:sz w:val="24"/>
          <w:szCs w:val="28"/>
        </w:rPr>
        <w:t xml:space="preserve">1. Functional Overview and Disease Relevance </w:t>
      </w:r>
      <w:r>
        <w:rPr>
          <w:rFonts w:ascii="Times New Roman" w:hAnsi="Times New Roman" w:cs="Times New Roman"/>
          <w:b/>
          <w:bCs/>
          <w:i/>
          <w:iCs/>
          <w:sz w:val="24"/>
          <w:szCs w:val="28"/>
        </w:rPr>
        <w:t>(NCBI Gene Summary)</w:t>
      </w:r>
    </w:p>
    <w:p w14:paraId="264913F0" w14:textId="77777777" w:rsidR="0009560F" w:rsidRDefault="00000000">
      <w:pPr>
        <w:rPr>
          <w:rFonts w:ascii="Times New Roman" w:hAnsi="Times New Roman" w:cs="Times New Roman"/>
        </w:rPr>
      </w:pPr>
      <w:r>
        <w:rPr>
          <w:rFonts w:ascii="Times New Roman" w:hAnsi="Times New Roman" w:cs="Times New Roman"/>
        </w:rPr>
        <w:t>The Epidermal Growth Factor Receptor (EGFR), also known as HER1 or ERBB1, is a transmembrane glycoprotein belonging to the protein kinase superfamily. EGFR functions as a receptor for ligands in the epidermal growth factor family. Upon ligand binding, EGFR undergoes receptor dimerization followed by tyrosine autophosphorylation, which activates multiple downstream signaling cascades that promote cell proliferation, survival, and differentiation.</w:t>
      </w:r>
    </w:p>
    <w:p w14:paraId="5C8EA691" w14:textId="77777777" w:rsidR="0009560F" w:rsidRDefault="00000000">
      <w:pPr>
        <w:rPr>
          <w:rFonts w:ascii="Times New Roman" w:hAnsi="Times New Roman" w:cs="Times New Roman"/>
          <w:b/>
          <w:bCs/>
        </w:rPr>
      </w:pPr>
      <w:r>
        <w:rPr>
          <w:rFonts w:ascii="Times New Roman" w:hAnsi="Times New Roman" w:cs="Times New Roman"/>
        </w:rPr>
        <w:t>Mutations and dysregulation of the EGFR gene are a well-established driver of non-small cell lung cancer (NSCLC), particularly lung adenocarcinoma (LUAD). Due to its central oncogenic role, EGFR represents one of the most important therapeutic targets in LUAD.</w:t>
      </w:r>
    </w:p>
    <w:p w14:paraId="6798F458" w14:textId="77777777" w:rsidR="0009560F" w:rsidRDefault="00000000">
      <w:pPr>
        <w:rPr>
          <w:rFonts w:ascii="Times New Roman" w:hAnsi="Times New Roman" w:cs="Times New Roman"/>
          <w:b/>
          <w:bCs/>
          <w:sz w:val="24"/>
          <w:szCs w:val="28"/>
        </w:rPr>
      </w:pPr>
      <w:r>
        <w:rPr>
          <w:rFonts w:ascii="Times New Roman" w:hAnsi="Times New Roman" w:cs="Times New Roman"/>
          <w:b/>
          <w:bCs/>
          <w:sz w:val="24"/>
          <w:szCs w:val="28"/>
        </w:rPr>
        <w:t>2. PANDA Network Analysis: Differential Regulatory Targeting</w:t>
      </w:r>
    </w:p>
    <w:p w14:paraId="71E2D4D8" w14:textId="77777777" w:rsidR="0009560F" w:rsidRDefault="00000000">
      <w:pPr>
        <w:rPr>
          <w:rFonts w:ascii="Times New Roman" w:hAnsi="Times New Roman" w:cs="Times New Roman"/>
        </w:rPr>
      </w:pPr>
      <w:r>
        <w:rPr>
          <w:rFonts w:ascii="Times New Roman" w:hAnsi="Times New Roman" w:cs="Times New Roman"/>
        </w:rPr>
        <w:t xml:space="preserve">Using PANDA network inference, we observed a dramatic rewiring of transcriptional regulation targeting EGFR in LUAD compared to normal </w:t>
      </w:r>
      <w:proofErr w:type="spellStart"/>
      <w:r>
        <w:rPr>
          <w:rFonts w:ascii="Times New Roman" w:hAnsi="Times New Roman" w:cs="Times New Roman"/>
        </w:rPr>
        <w:t>GTEx</w:t>
      </w:r>
      <w:proofErr w:type="spellEnd"/>
      <w:r>
        <w:rPr>
          <w:rFonts w:ascii="Times New Roman" w:hAnsi="Times New Roman" w:cs="Times New Roman"/>
        </w:rPr>
        <w:t xml:space="preserve"> lung tissue. Specifically, the regulatory connection strength (Force) directed toward EGFR shows substantial changes, indicating a fundamental shift in its transcriptional control program in cancer.</w:t>
      </w:r>
    </w:p>
    <w:p w14:paraId="260C4C7F" w14:textId="77777777" w:rsidR="0009560F" w:rsidRDefault="00000000">
      <w:pPr>
        <w:rPr>
          <w:rFonts w:ascii="Times New Roman" w:hAnsi="Times New Roman" w:cs="Times New Roman"/>
        </w:rPr>
      </w:pPr>
      <w:r>
        <w:rPr>
          <w:rFonts w:ascii="Times New Roman" w:hAnsi="Times New Roman" w:cs="Times New Roman"/>
        </w:rPr>
        <w:t>The table below summarizes transcription factors (TFs) with the largest absolute change in targeting strength toward EGFR:</w:t>
      </w:r>
    </w:p>
    <w:tbl>
      <w:tblPr>
        <w:tblW w:w="8522" w:type="dxa"/>
        <w:jc w:val="center"/>
        <w:tblCellSpacing w:w="15" w:type="dxa"/>
        <w:tblCellMar>
          <w:top w:w="15" w:type="dxa"/>
          <w:left w:w="15" w:type="dxa"/>
          <w:bottom w:w="15" w:type="dxa"/>
          <w:right w:w="15" w:type="dxa"/>
        </w:tblCellMar>
        <w:tblLook w:val="04A0" w:firstRow="1" w:lastRow="0" w:firstColumn="1" w:lastColumn="0" w:noHBand="0" w:noVBand="1"/>
      </w:tblPr>
      <w:tblGrid>
        <w:gridCol w:w="589"/>
        <w:gridCol w:w="2018"/>
        <w:gridCol w:w="1014"/>
        <w:gridCol w:w="953"/>
        <w:gridCol w:w="1787"/>
        <w:gridCol w:w="2161"/>
      </w:tblGrid>
      <w:tr w:rsidR="0009560F" w14:paraId="0F086D4F" w14:textId="77777777">
        <w:trPr>
          <w:tblHeader/>
          <w:tblCellSpacing w:w="15" w:type="dxa"/>
          <w:jc w:val="center"/>
        </w:trPr>
        <w:tc>
          <w:tcPr>
            <w:tcW w:w="544" w:type="dxa"/>
            <w:tcBorders>
              <w:top w:val="single" w:sz="12" w:space="0" w:color="auto"/>
              <w:left w:val="nil"/>
              <w:bottom w:val="single" w:sz="4" w:space="0" w:color="auto"/>
              <w:right w:val="nil"/>
            </w:tcBorders>
            <w:vAlign w:val="center"/>
          </w:tcPr>
          <w:p w14:paraId="40DF5883"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Rank</w:t>
            </w:r>
          </w:p>
        </w:tc>
        <w:tc>
          <w:tcPr>
            <w:tcW w:w="1988" w:type="dxa"/>
            <w:tcBorders>
              <w:top w:val="single" w:sz="12" w:space="0" w:color="auto"/>
              <w:left w:val="nil"/>
              <w:bottom w:val="single" w:sz="4" w:space="0" w:color="auto"/>
              <w:right w:val="nil"/>
            </w:tcBorders>
            <w:vAlign w:val="center"/>
          </w:tcPr>
          <w:p w14:paraId="53537227"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 xml:space="preserve">Transcription Factor </w:t>
            </w:r>
          </w:p>
          <w:p w14:paraId="434F36D5"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(TF)</w:t>
            </w:r>
          </w:p>
        </w:tc>
        <w:tc>
          <w:tcPr>
            <w:tcW w:w="984" w:type="dxa"/>
            <w:tcBorders>
              <w:top w:val="single" w:sz="12" w:space="0" w:color="auto"/>
              <w:left w:val="nil"/>
              <w:bottom w:val="single" w:sz="4" w:space="0" w:color="auto"/>
              <w:right w:val="nil"/>
            </w:tcBorders>
            <w:vAlign w:val="center"/>
          </w:tcPr>
          <w:p w14:paraId="50F75C19"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 xml:space="preserve">Force </w:t>
            </w:r>
          </w:p>
          <w:p w14:paraId="3C95194D"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(LUAD)</w:t>
            </w:r>
          </w:p>
        </w:tc>
        <w:tc>
          <w:tcPr>
            <w:tcW w:w="923" w:type="dxa"/>
            <w:tcBorders>
              <w:top w:val="single" w:sz="12" w:space="0" w:color="auto"/>
              <w:left w:val="nil"/>
              <w:bottom w:val="single" w:sz="4" w:space="0" w:color="auto"/>
              <w:right w:val="nil"/>
            </w:tcBorders>
            <w:vAlign w:val="center"/>
          </w:tcPr>
          <w:p w14:paraId="3EF8803B"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 xml:space="preserve">Force </w:t>
            </w:r>
          </w:p>
          <w:p w14:paraId="5E5C286E"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w:t>
            </w:r>
            <w:proofErr w:type="spellStart"/>
            <w:r>
              <w:rPr>
                <w:rFonts w:ascii="Times New Roman" w:hAnsi="Times New Roman" w:cs="Times New Roman"/>
                <w:b/>
              </w:rPr>
              <w:t>GTEx</w:t>
            </w:r>
            <w:proofErr w:type="spellEnd"/>
            <w:r>
              <w:rPr>
                <w:rFonts w:ascii="Times New Roman" w:hAnsi="Times New Roman" w:cs="Times New Roman"/>
                <w:b/>
              </w:rPr>
              <w:t>)</w:t>
            </w:r>
          </w:p>
        </w:tc>
        <w:tc>
          <w:tcPr>
            <w:tcW w:w="1757" w:type="dxa"/>
            <w:tcBorders>
              <w:top w:val="single" w:sz="12" w:space="0" w:color="auto"/>
              <w:left w:val="nil"/>
              <w:bottom w:val="single" w:sz="4" w:space="0" w:color="auto"/>
              <w:right w:val="nil"/>
            </w:tcBorders>
            <w:vAlign w:val="center"/>
          </w:tcPr>
          <w:p w14:paraId="1087EB5D"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 xml:space="preserve">Δ Targeting </w:t>
            </w:r>
          </w:p>
          <w:p w14:paraId="495D1BBC"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 xml:space="preserve">(LUAD − </w:t>
            </w:r>
            <w:proofErr w:type="spellStart"/>
            <w:r>
              <w:rPr>
                <w:rFonts w:ascii="Times New Roman" w:hAnsi="Times New Roman" w:cs="Times New Roman"/>
                <w:b/>
              </w:rPr>
              <w:t>GTEx</w:t>
            </w:r>
            <w:proofErr w:type="spellEnd"/>
            <w:r>
              <w:rPr>
                <w:rFonts w:ascii="Times New Roman" w:hAnsi="Times New Roman" w:cs="Times New Roman"/>
                <w:b/>
              </w:rPr>
              <w:t>)</w:t>
            </w:r>
          </w:p>
        </w:tc>
        <w:tc>
          <w:tcPr>
            <w:tcW w:w="2116" w:type="dxa"/>
            <w:tcBorders>
              <w:top w:val="single" w:sz="12" w:space="0" w:color="auto"/>
              <w:left w:val="nil"/>
              <w:bottom w:val="single" w:sz="4" w:space="0" w:color="auto"/>
              <w:right w:val="nil"/>
            </w:tcBorders>
            <w:vAlign w:val="center"/>
          </w:tcPr>
          <w:p w14:paraId="13FDEA0B" w14:textId="77777777" w:rsidR="0009560F" w:rsidRDefault="00000000">
            <w:pPr>
              <w:snapToGrid w:val="0"/>
              <w:spacing w:line="240" w:lineRule="auto"/>
              <w:jc w:val="center"/>
              <w:rPr>
                <w:rFonts w:ascii="Times New Roman" w:hAnsi="Times New Roman" w:cs="Times New Roman"/>
                <w:b/>
              </w:rPr>
            </w:pPr>
            <w:r>
              <w:rPr>
                <w:rFonts w:ascii="Times New Roman" w:hAnsi="Times New Roman" w:cs="Times New Roman"/>
                <w:b/>
              </w:rPr>
              <w:t>Implication</w:t>
            </w:r>
          </w:p>
        </w:tc>
      </w:tr>
      <w:tr w:rsidR="0009560F" w14:paraId="168B292E" w14:textId="77777777">
        <w:trPr>
          <w:tblCellSpacing w:w="15" w:type="dxa"/>
          <w:jc w:val="center"/>
        </w:trPr>
        <w:tc>
          <w:tcPr>
            <w:tcW w:w="544" w:type="dxa"/>
            <w:tcBorders>
              <w:top w:val="nil"/>
              <w:left w:val="nil"/>
              <w:bottom w:val="nil"/>
              <w:right w:val="nil"/>
            </w:tcBorders>
            <w:vAlign w:val="center"/>
          </w:tcPr>
          <w:p w14:paraId="515623D9"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w:t>
            </w:r>
          </w:p>
        </w:tc>
        <w:tc>
          <w:tcPr>
            <w:tcW w:w="1988" w:type="dxa"/>
            <w:tcBorders>
              <w:top w:val="nil"/>
              <w:left w:val="nil"/>
              <w:bottom w:val="nil"/>
              <w:right w:val="nil"/>
            </w:tcBorders>
            <w:vAlign w:val="center"/>
          </w:tcPr>
          <w:p w14:paraId="70AA25DA"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ZNF334</w:t>
            </w:r>
          </w:p>
        </w:tc>
        <w:tc>
          <w:tcPr>
            <w:tcW w:w="984" w:type="dxa"/>
            <w:tcBorders>
              <w:top w:val="nil"/>
              <w:left w:val="nil"/>
              <w:bottom w:val="nil"/>
              <w:right w:val="nil"/>
            </w:tcBorders>
            <w:vAlign w:val="center"/>
          </w:tcPr>
          <w:p w14:paraId="4A7B1D39"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1.289</w:t>
            </w:r>
          </w:p>
        </w:tc>
        <w:tc>
          <w:tcPr>
            <w:tcW w:w="923" w:type="dxa"/>
            <w:tcBorders>
              <w:top w:val="nil"/>
              <w:left w:val="nil"/>
              <w:bottom w:val="nil"/>
              <w:right w:val="nil"/>
            </w:tcBorders>
            <w:vAlign w:val="center"/>
          </w:tcPr>
          <w:p w14:paraId="701CE574"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-0.302</w:t>
            </w:r>
          </w:p>
        </w:tc>
        <w:tc>
          <w:tcPr>
            <w:tcW w:w="1757" w:type="dxa"/>
            <w:tcBorders>
              <w:top w:val="nil"/>
              <w:left w:val="nil"/>
              <w:bottom w:val="nil"/>
              <w:right w:val="nil"/>
            </w:tcBorders>
            <w:vAlign w:val="center"/>
          </w:tcPr>
          <w:p w14:paraId="1F9B7380"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+1.590</w:t>
            </w:r>
          </w:p>
        </w:tc>
        <w:tc>
          <w:tcPr>
            <w:tcW w:w="2116" w:type="dxa"/>
            <w:tcBorders>
              <w:top w:val="nil"/>
              <w:left w:val="nil"/>
              <w:bottom w:val="nil"/>
              <w:right w:val="nil"/>
            </w:tcBorders>
            <w:vAlign w:val="center"/>
          </w:tcPr>
          <w:p w14:paraId="29AABFC1" w14:textId="77777777" w:rsidR="0009560F" w:rsidRDefault="00000000">
            <w:pPr>
              <w:snapToGrid w:val="0"/>
              <w:spacing w:line="240" w:lineRule="auto"/>
              <w:rPr>
                <w:rFonts w:ascii="Times New Roman" w:hAnsi="Times New Roman" w:cs="Times New Roman"/>
              </w:rPr>
            </w:pPr>
            <w:r>
              <w:rPr>
                <w:rFonts w:ascii="Times New Roman" w:hAnsi="Times New Roman" w:cs="Times New Roman"/>
              </w:rPr>
              <w:t>Highly enhanced targeting in LUAD</w:t>
            </w:r>
          </w:p>
        </w:tc>
      </w:tr>
      <w:tr w:rsidR="0009560F" w14:paraId="142CDC32" w14:textId="77777777">
        <w:trPr>
          <w:tblCellSpacing w:w="15" w:type="dxa"/>
          <w:jc w:val="center"/>
        </w:trPr>
        <w:tc>
          <w:tcPr>
            <w:tcW w:w="544" w:type="dxa"/>
            <w:tcBorders>
              <w:top w:val="nil"/>
              <w:left w:val="nil"/>
              <w:bottom w:val="nil"/>
              <w:right w:val="nil"/>
            </w:tcBorders>
            <w:vAlign w:val="center"/>
          </w:tcPr>
          <w:p w14:paraId="73B789EC"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2</w:t>
            </w:r>
          </w:p>
        </w:tc>
        <w:tc>
          <w:tcPr>
            <w:tcW w:w="1988" w:type="dxa"/>
            <w:tcBorders>
              <w:top w:val="nil"/>
              <w:left w:val="nil"/>
              <w:bottom w:val="nil"/>
              <w:right w:val="nil"/>
            </w:tcBorders>
            <w:vAlign w:val="center"/>
          </w:tcPr>
          <w:p w14:paraId="6333161F"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ZNF384</w:t>
            </w:r>
          </w:p>
        </w:tc>
        <w:tc>
          <w:tcPr>
            <w:tcW w:w="984" w:type="dxa"/>
            <w:tcBorders>
              <w:top w:val="nil"/>
              <w:left w:val="nil"/>
              <w:bottom w:val="nil"/>
              <w:right w:val="nil"/>
            </w:tcBorders>
            <w:vAlign w:val="center"/>
          </w:tcPr>
          <w:p w14:paraId="39E498FA"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1.310</w:t>
            </w:r>
          </w:p>
        </w:tc>
        <w:tc>
          <w:tcPr>
            <w:tcW w:w="923" w:type="dxa"/>
            <w:tcBorders>
              <w:top w:val="nil"/>
              <w:left w:val="nil"/>
              <w:bottom w:val="nil"/>
              <w:right w:val="nil"/>
            </w:tcBorders>
            <w:vAlign w:val="center"/>
          </w:tcPr>
          <w:p w14:paraId="11CD7003"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-0.280</w:t>
            </w:r>
          </w:p>
        </w:tc>
        <w:tc>
          <w:tcPr>
            <w:tcW w:w="1757" w:type="dxa"/>
            <w:tcBorders>
              <w:top w:val="nil"/>
              <w:left w:val="nil"/>
              <w:bottom w:val="nil"/>
              <w:right w:val="nil"/>
            </w:tcBorders>
            <w:vAlign w:val="center"/>
          </w:tcPr>
          <w:p w14:paraId="114ED79E"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+1.590</w:t>
            </w:r>
          </w:p>
        </w:tc>
        <w:tc>
          <w:tcPr>
            <w:tcW w:w="2116" w:type="dxa"/>
            <w:tcBorders>
              <w:top w:val="nil"/>
              <w:left w:val="nil"/>
              <w:bottom w:val="nil"/>
              <w:right w:val="nil"/>
            </w:tcBorders>
            <w:vAlign w:val="center"/>
          </w:tcPr>
          <w:p w14:paraId="18B2888A" w14:textId="77777777" w:rsidR="0009560F" w:rsidRDefault="00000000">
            <w:pPr>
              <w:snapToGrid w:val="0"/>
              <w:spacing w:line="240" w:lineRule="auto"/>
              <w:rPr>
                <w:rFonts w:ascii="Times New Roman" w:hAnsi="Times New Roman" w:cs="Times New Roman"/>
              </w:rPr>
            </w:pPr>
            <w:r>
              <w:rPr>
                <w:rFonts w:ascii="Times New Roman" w:hAnsi="Times New Roman" w:cs="Times New Roman"/>
              </w:rPr>
              <w:t>Highly enhanced targeting in LUAD</w:t>
            </w:r>
          </w:p>
        </w:tc>
      </w:tr>
      <w:tr w:rsidR="0009560F" w14:paraId="55036022" w14:textId="77777777">
        <w:trPr>
          <w:tblCellSpacing w:w="15" w:type="dxa"/>
          <w:jc w:val="center"/>
        </w:trPr>
        <w:tc>
          <w:tcPr>
            <w:tcW w:w="544" w:type="dxa"/>
            <w:tcBorders>
              <w:top w:val="nil"/>
              <w:left w:val="nil"/>
              <w:bottom w:val="nil"/>
              <w:right w:val="nil"/>
            </w:tcBorders>
            <w:vAlign w:val="center"/>
          </w:tcPr>
          <w:p w14:paraId="18081746"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3</w:t>
            </w:r>
          </w:p>
        </w:tc>
        <w:tc>
          <w:tcPr>
            <w:tcW w:w="1988" w:type="dxa"/>
            <w:tcBorders>
              <w:top w:val="nil"/>
              <w:left w:val="nil"/>
              <w:bottom w:val="nil"/>
              <w:right w:val="nil"/>
            </w:tcBorders>
            <w:vAlign w:val="center"/>
          </w:tcPr>
          <w:p w14:paraId="0971993F"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ZNF25</w:t>
            </w:r>
          </w:p>
        </w:tc>
        <w:tc>
          <w:tcPr>
            <w:tcW w:w="984" w:type="dxa"/>
            <w:tcBorders>
              <w:top w:val="nil"/>
              <w:left w:val="nil"/>
              <w:bottom w:val="nil"/>
              <w:right w:val="nil"/>
            </w:tcBorders>
            <w:vAlign w:val="center"/>
          </w:tcPr>
          <w:p w14:paraId="6610BDEE"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1.216</w:t>
            </w:r>
          </w:p>
        </w:tc>
        <w:tc>
          <w:tcPr>
            <w:tcW w:w="923" w:type="dxa"/>
            <w:tcBorders>
              <w:top w:val="nil"/>
              <w:left w:val="nil"/>
              <w:bottom w:val="nil"/>
              <w:right w:val="nil"/>
            </w:tcBorders>
            <w:vAlign w:val="center"/>
          </w:tcPr>
          <w:p w14:paraId="2B534E92"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-0.343</w:t>
            </w:r>
          </w:p>
        </w:tc>
        <w:tc>
          <w:tcPr>
            <w:tcW w:w="1757" w:type="dxa"/>
            <w:tcBorders>
              <w:top w:val="nil"/>
              <w:left w:val="nil"/>
              <w:bottom w:val="nil"/>
              <w:right w:val="nil"/>
            </w:tcBorders>
            <w:vAlign w:val="center"/>
          </w:tcPr>
          <w:p w14:paraId="35F9FB3A"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+1.559</w:t>
            </w:r>
          </w:p>
        </w:tc>
        <w:tc>
          <w:tcPr>
            <w:tcW w:w="2116" w:type="dxa"/>
            <w:tcBorders>
              <w:top w:val="nil"/>
              <w:left w:val="nil"/>
              <w:bottom w:val="nil"/>
              <w:right w:val="nil"/>
            </w:tcBorders>
            <w:vAlign w:val="center"/>
          </w:tcPr>
          <w:p w14:paraId="52279EC9" w14:textId="77777777" w:rsidR="0009560F" w:rsidRDefault="00000000">
            <w:pPr>
              <w:snapToGrid w:val="0"/>
              <w:spacing w:line="240" w:lineRule="auto"/>
              <w:rPr>
                <w:rFonts w:ascii="Times New Roman" w:hAnsi="Times New Roman" w:cs="Times New Roman"/>
              </w:rPr>
            </w:pPr>
            <w:r>
              <w:rPr>
                <w:rFonts w:ascii="Times New Roman" w:hAnsi="Times New Roman" w:cs="Times New Roman"/>
              </w:rPr>
              <w:t>Enhanced targeting in LUAD</w:t>
            </w:r>
          </w:p>
        </w:tc>
      </w:tr>
      <w:tr w:rsidR="0009560F" w14:paraId="14155417" w14:textId="77777777">
        <w:trPr>
          <w:tblCellSpacing w:w="15" w:type="dxa"/>
          <w:jc w:val="center"/>
        </w:trPr>
        <w:tc>
          <w:tcPr>
            <w:tcW w:w="544" w:type="dxa"/>
            <w:tcBorders>
              <w:top w:val="nil"/>
              <w:left w:val="nil"/>
              <w:bottom w:val="nil"/>
              <w:right w:val="nil"/>
            </w:tcBorders>
            <w:vAlign w:val="center"/>
          </w:tcPr>
          <w:p w14:paraId="7D8BCD64"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4</w:t>
            </w:r>
          </w:p>
        </w:tc>
        <w:tc>
          <w:tcPr>
            <w:tcW w:w="1988" w:type="dxa"/>
            <w:tcBorders>
              <w:top w:val="nil"/>
              <w:left w:val="nil"/>
              <w:bottom w:val="nil"/>
              <w:right w:val="nil"/>
            </w:tcBorders>
            <w:vAlign w:val="center"/>
          </w:tcPr>
          <w:p w14:paraId="77537BBF"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FOXS1</w:t>
            </w:r>
          </w:p>
        </w:tc>
        <w:tc>
          <w:tcPr>
            <w:tcW w:w="984" w:type="dxa"/>
            <w:tcBorders>
              <w:top w:val="nil"/>
              <w:left w:val="nil"/>
              <w:bottom w:val="nil"/>
              <w:right w:val="nil"/>
            </w:tcBorders>
            <w:vAlign w:val="center"/>
          </w:tcPr>
          <w:p w14:paraId="58BF497E"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1.293</w:t>
            </w:r>
          </w:p>
        </w:tc>
        <w:tc>
          <w:tcPr>
            <w:tcW w:w="923" w:type="dxa"/>
            <w:tcBorders>
              <w:top w:val="nil"/>
              <w:left w:val="nil"/>
              <w:bottom w:val="nil"/>
              <w:right w:val="nil"/>
            </w:tcBorders>
            <w:vAlign w:val="center"/>
          </w:tcPr>
          <w:p w14:paraId="3D735166"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-0.260</w:t>
            </w:r>
          </w:p>
        </w:tc>
        <w:tc>
          <w:tcPr>
            <w:tcW w:w="1757" w:type="dxa"/>
            <w:tcBorders>
              <w:top w:val="nil"/>
              <w:left w:val="nil"/>
              <w:bottom w:val="nil"/>
              <w:right w:val="nil"/>
            </w:tcBorders>
            <w:vAlign w:val="center"/>
          </w:tcPr>
          <w:p w14:paraId="0C067BBE"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+1.554</w:t>
            </w:r>
          </w:p>
        </w:tc>
        <w:tc>
          <w:tcPr>
            <w:tcW w:w="2116" w:type="dxa"/>
            <w:tcBorders>
              <w:top w:val="nil"/>
              <w:left w:val="nil"/>
              <w:bottom w:val="nil"/>
              <w:right w:val="nil"/>
            </w:tcBorders>
            <w:vAlign w:val="center"/>
          </w:tcPr>
          <w:p w14:paraId="6FC5D8A6" w14:textId="77777777" w:rsidR="0009560F" w:rsidRDefault="00000000">
            <w:pPr>
              <w:snapToGrid w:val="0"/>
              <w:spacing w:line="240" w:lineRule="auto"/>
              <w:rPr>
                <w:rFonts w:ascii="Times New Roman" w:hAnsi="Times New Roman" w:cs="Times New Roman"/>
              </w:rPr>
            </w:pPr>
            <w:r>
              <w:rPr>
                <w:rFonts w:ascii="Times New Roman" w:hAnsi="Times New Roman" w:cs="Times New Roman"/>
              </w:rPr>
              <w:t>Enhanced targeting in LUAD</w:t>
            </w:r>
          </w:p>
        </w:tc>
      </w:tr>
      <w:tr w:rsidR="0009560F" w14:paraId="5C63B39B" w14:textId="77777777">
        <w:trPr>
          <w:tblCellSpacing w:w="15" w:type="dxa"/>
          <w:jc w:val="center"/>
        </w:trPr>
        <w:tc>
          <w:tcPr>
            <w:tcW w:w="544" w:type="dxa"/>
            <w:tcBorders>
              <w:top w:val="nil"/>
              <w:left w:val="nil"/>
              <w:bottom w:val="single" w:sz="12" w:space="0" w:color="auto"/>
              <w:right w:val="nil"/>
            </w:tcBorders>
            <w:vAlign w:val="center"/>
          </w:tcPr>
          <w:p w14:paraId="1147AC88"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5</w:t>
            </w:r>
          </w:p>
        </w:tc>
        <w:tc>
          <w:tcPr>
            <w:tcW w:w="1988" w:type="dxa"/>
            <w:tcBorders>
              <w:top w:val="nil"/>
              <w:left w:val="nil"/>
              <w:bottom w:val="single" w:sz="12" w:space="0" w:color="auto"/>
              <w:right w:val="nil"/>
            </w:tcBorders>
            <w:vAlign w:val="center"/>
          </w:tcPr>
          <w:p w14:paraId="05B29D66"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ARID3A</w:t>
            </w:r>
          </w:p>
        </w:tc>
        <w:tc>
          <w:tcPr>
            <w:tcW w:w="984" w:type="dxa"/>
            <w:tcBorders>
              <w:top w:val="nil"/>
              <w:left w:val="nil"/>
              <w:bottom w:val="single" w:sz="12" w:space="0" w:color="auto"/>
              <w:right w:val="nil"/>
            </w:tcBorders>
            <w:vAlign w:val="center"/>
          </w:tcPr>
          <w:p w14:paraId="304D0A2D"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1.024</w:t>
            </w:r>
          </w:p>
        </w:tc>
        <w:tc>
          <w:tcPr>
            <w:tcW w:w="923" w:type="dxa"/>
            <w:tcBorders>
              <w:top w:val="nil"/>
              <w:left w:val="nil"/>
              <w:bottom w:val="single" w:sz="12" w:space="0" w:color="auto"/>
              <w:right w:val="nil"/>
            </w:tcBorders>
            <w:vAlign w:val="center"/>
          </w:tcPr>
          <w:p w14:paraId="168C3C10"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-0.524</w:t>
            </w:r>
          </w:p>
        </w:tc>
        <w:tc>
          <w:tcPr>
            <w:tcW w:w="1757" w:type="dxa"/>
            <w:tcBorders>
              <w:top w:val="nil"/>
              <w:left w:val="nil"/>
              <w:bottom w:val="single" w:sz="12" w:space="0" w:color="auto"/>
              <w:right w:val="nil"/>
            </w:tcBorders>
            <w:vAlign w:val="center"/>
          </w:tcPr>
          <w:p w14:paraId="1CE8F1E1" w14:textId="77777777" w:rsidR="0009560F" w:rsidRDefault="00000000">
            <w:pPr>
              <w:snapToGrid w:val="0"/>
              <w:spacing w:line="240" w:lineRule="auto"/>
              <w:jc w:val="center"/>
              <w:rPr>
                <w:rFonts w:ascii="Times New Roman" w:hAnsi="Times New Roman" w:cs="Times New Roman"/>
              </w:rPr>
            </w:pPr>
            <w:r>
              <w:rPr>
                <w:rFonts w:ascii="Times New Roman" w:hAnsi="Times New Roman" w:cs="Times New Roman"/>
              </w:rPr>
              <w:t>+1.547</w:t>
            </w:r>
          </w:p>
        </w:tc>
        <w:tc>
          <w:tcPr>
            <w:tcW w:w="2116" w:type="dxa"/>
            <w:tcBorders>
              <w:top w:val="nil"/>
              <w:left w:val="nil"/>
              <w:bottom w:val="single" w:sz="12" w:space="0" w:color="auto"/>
              <w:right w:val="nil"/>
            </w:tcBorders>
            <w:vAlign w:val="center"/>
          </w:tcPr>
          <w:p w14:paraId="2F9403D4" w14:textId="77777777" w:rsidR="0009560F" w:rsidRDefault="00000000">
            <w:pPr>
              <w:snapToGrid w:val="0"/>
              <w:spacing w:line="240" w:lineRule="auto"/>
              <w:rPr>
                <w:rFonts w:ascii="Times New Roman" w:hAnsi="Times New Roman" w:cs="Times New Roman"/>
              </w:rPr>
            </w:pPr>
            <w:r>
              <w:rPr>
                <w:rFonts w:ascii="Times New Roman" w:hAnsi="Times New Roman" w:cs="Times New Roman"/>
              </w:rPr>
              <w:t>Enhanced targeting in LUAD</w:t>
            </w:r>
          </w:p>
        </w:tc>
      </w:tr>
    </w:tbl>
    <w:p w14:paraId="77EE281B" w14:textId="77777777" w:rsidR="0009560F" w:rsidRDefault="00000000">
      <w:pPr>
        <w:rPr>
          <w:rFonts w:ascii="Times New Roman" w:hAnsi="Times New Roman" w:cs="Times New Roman"/>
        </w:rPr>
      </w:pPr>
      <w:r>
        <w:rPr>
          <w:rFonts w:ascii="Times New Roman" w:hAnsi="Times New Roman" w:cs="Times New Roman"/>
        </w:rPr>
        <w:t>These results demonstrate a concerted regulatory shift driven primarily by zinc finger proteins (ZNF334, ZNF384, ZNF25) and FOX family transcription factors. Their significantly increased targeting suggests that these TFs act as key drivers of aberrant EGFR upregulation in LUAD.</w:t>
      </w:r>
    </w:p>
    <w:p w14:paraId="6C5815CB" w14:textId="4E2B1E77" w:rsidR="00614174" w:rsidRDefault="00614174">
      <w:pPr>
        <w:rPr>
          <w:rFonts w:ascii="Times New Roman" w:hAnsi="Times New Roman" w:cs="Times New Roman"/>
        </w:rPr>
      </w:pPr>
      <w:r w:rsidRPr="00614174">
        <w:rPr>
          <w:rFonts w:ascii="Times New Roman" w:hAnsi="Times New Roman" w:cs="Times New Roman"/>
        </w:rPr>
        <w:lastRenderedPageBreak/>
        <w:t>This pattern is summarized visually in Figure 1, where TFs are separated into increased vs decreased targeting of EGFR in LUAD.</w:t>
      </w:r>
    </w:p>
    <w:p w14:paraId="5B0F1861" w14:textId="71253515" w:rsidR="00614174" w:rsidRPr="00614174" w:rsidRDefault="00614174" w:rsidP="00614174">
      <w:pPr>
        <w:rPr>
          <w:rFonts w:ascii="Times New Roman" w:hAnsi="Times New Roman" w:cs="Times New Roman"/>
        </w:rPr>
      </w:pPr>
    </w:p>
    <w:p w14:paraId="6D271B26" w14:textId="77777777" w:rsidR="00614174" w:rsidRPr="00614174" w:rsidRDefault="00614174" w:rsidP="00614174">
      <w:pPr>
        <w:rPr>
          <w:rFonts w:ascii="Times New Roman" w:hAnsi="Times New Roman" w:cs="Times New Roman"/>
        </w:rPr>
      </w:pPr>
      <w:r w:rsidRPr="00614174">
        <w:rPr>
          <w:rFonts w:ascii="Times New Roman" w:hAnsi="Times New Roman" w:cs="Times New Roman"/>
        </w:rPr>
        <w:t>Figure 1. EGFR regulatory rewiring in LUAD</w:t>
      </w:r>
    </w:p>
    <w:p w14:paraId="5877BA7C" w14:textId="3B72548D" w:rsidR="00614174" w:rsidRPr="00614174" w:rsidRDefault="00614174">
      <w:pPr>
        <w:rPr>
          <w:rFonts w:ascii="Times New Roman" w:hAnsi="Times New Roman" w:cs="Times New Roman"/>
        </w:rPr>
      </w:pPr>
      <w:r w:rsidRPr="00614174">
        <w:rPr>
          <w:rFonts w:ascii="Times New Roman" w:hAnsi="Times New Roman" w:cs="Times New Roman"/>
        </w:rPr>
        <w:t xml:space="preserve">Differential transcription factor (TF) targeting of EGFR inferred by PANDA network analysis. Bars represent changes in TF→EGFR edge weights between LUAD and normal </w:t>
      </w:r>
      <w:proofErr w:type="spellStart"/>
      <w:r w:rsidRPr="00614174">
        <w:rPr>
          <w:rFonts w:ascii="Times New Roman" w:hAnsi="Times New Roman" w:cs="Times New Roman"/>
        </w:rPr>
        <w:t>GTEx</w:t>
      </w:r>
      <w:proofErr w:type="spellEnd"/>
      <w:r w:rsidRPr="00614174">
        <w:rPr>
          <w:rFonts w:ascii="Times New Roman" w:hAnsi="Times New Roman" w:cs="Times New Roman"/>
        </w:rPr>
        <w:t xml:space="preserve"> lung tissue (Δ targeting = force_{LUAD} − force_{</w:t>
      </w:r>
      <w:proofErr w:type="spellStart"/>
      <w:r w:rsidRPr="00614174">
        <w:rPr>
          <w:rFonts w:ascii="Times New Roman" w:hAnsi="Times New Roman" w:cs="Times New Roman"/>
        </w:rPr>
        <w:t>GTEx</w:t>
      </w:r>
      <w:proofErr w:type="spellEnd"/>
      <w:r w:rsidRPr="00614174">
        <w:rPr>
          <w:rFonts w:ascii="Times New Roman" w:hAnsi="Times New Roman" w:cs="Times New Roman"/>
        </w:rPr>
        <w:t>}). Positive values indicate increased regulatory influence on EGFR in LUAD.</w:t>
      </w:r>
    </w:p>
    <w:p w14:paraId="350618FC" w14:textId="5F00BC7E" w:rsidR="00614174" w:rsidRDefault="00614174">
      <w:pPr>
        <w:rPr>
          <w:rFonts w:ascii="Times New Roman" w:hAnsi="Times New Roman" w:cs="Times New Roman"/>
        </w:rPr>
      </w:pPr>
      <w:r w:rsidRPr="00614174">
        <w:rPr>
          <w:rFonts w:ascii="Times New Roman" w:hAnsi="Times New Roman" w:cs="Times New Roman"/>
          <w:noProof/>
        </w:rPr>
        <w:drawing>
          <wp:inline distT="0" distB="0" distL="0" distR="0" wp14:anchorId="24151D79" wp14:editId="7F7F02A0">
            <wp:extent cx="5274310" cy="3714115"/>
            <wp:effectExtent l="0" t="0" r="2540" b="635"/>
            <wp:docPr id="1086978865" name="图片 1"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8865" name="图片 1" descr="图表, 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714115"/>
                    </a:xfrm>
                    <a:prstGeom prst="rect">
                      <a:avLst/>
                    </a:prstGeom>
                    <a:noFill/>
                    <a:ln>
                      <a:noFill/>
                    </a:ln>
                  </pic:spPr>
                </pic:pic>
              </a:graphicData>
            </a:graphic>
          </wp:inline>
        </w:drawing>
      </w:r>
    </w:p>
    <w:p w14:paraId="0750BF88" w14:textId="77777777" w:rsidR="00614174" w:rsidRDefault="00614174">
      <w:pPr>
        <w:rPr>
          <w:rFonts w:ascii="Times New Roman" w:hAnsi="Times New Roman" w:cs="Times New Roman"/>
        </w:rPr>
      </w:pPr>
    </w:p>
    <w:p w14:paraId="06859C1B" w14:textId="77777777" w:rsidR="0009560F" w:rsidRDefault="00000000">
      <w:pPr>
        <w:rPr>
          <w:rFonts w:ascii="Times New Roman" w:hAnsi="Times New Roman" w:cs="Times New Roman"/>
          <w:b/>
          <w:bCs/>
          <w:sz w:val="24"/>
          <w:szCs w:val="28"/>
        </w:rPr>
      </w:pPr>
      <w:r>
        <w:rPr>
          <w:rFonts w:ascii="Times New Roman" w:hAnsi="Times New Roman" w:cs="Times New Roman"/>
          <w:b/>
          <w:bCs/>
          <w:sz w:val="24"/>
          <w:szCs w:val="28"/>
        </w:rPr>
        <w:t xml:space="preserve">3. UCSC Genomic Context Supports Regulatory Rewiring </w:t>
      </w:r>
      <w:r>
        <w:rPr>
          <w:rFonts w:ascii="Times New Roman" w:hAnsi="Times New Roman" w:cs="Times New Roman"/>
          <w:b/>
          <w:bCs/>
          <w:i/>
          <w:iCs/>
          <w:sz w:val="24"/>
          <w:szCs w:val="28"/>
        </w:rPr>
        <w:t>(GRCh38 / hg38)</w:t>
      </w:r>
    </w:p>
    <w:p w14:paraId="4EC27ADE" w14:textId="77777777" w:rsidR="0009560F" w:rsidRDefault="00000000">
      <w:pPr>
        <w:rPr>
          <w:rFonts w:ascii="Times New Roman" w:hAnsi="Times New Roman" w:cs="Times New Roman"/>
        </w:rPr>
      </w:pPr>
      <w:r>
        <w:rPr>
          <w:rFonts w:ascii="Times New Roman" w:hAnsi="Times New Roman" w:cs="Times New Roman"/>
        </w:rPr>
        <w:t>To investigate the physical basis underlying the observed network rewiring, we examined the genomic context of the EGFR locus using the UCSC Genome Browser.</w:t>
      </w:r>
    </w:p>
    <w:p w14:paraId="15F0864B" w14:textId="77777777" w:rsidR="0009560F" w:rsidRDefault="00000000">
      <w:pPr>
        <w:rPr>
          <w:rFonts w:ascii="Times New Roman" w:hAnsi="Times New Roman" w:cs="Times New Roman"/>
          <w:b/>
          <w:bCs/>
        </w:rPr>
      </w:pPr>
      <w:r>
        <w:rPr>
          <w:rFonts w:ascii="Times New Roman" w:hAnsi="Times New Roman" w:cs="Times New Roman" w:hint="eastAsia"/>
          <w:b/>
          <w:bCs/>
        </w:rPr>
        <w:t xml:space="preserve">3.1 </w:t>
      </w:r>
      <w:r>
        <w:rPr>
          <w:rFonts w:ascii="Times New Roman" w:hAnsi="Times New Roman" w:cs="Times New Roman"/>
          <w:b/>
          <w:bCs/>
        </w:rPr>
        <w:t>Genomic Features of EGFR</w:t>
      </w:r>
    </w:p>
    <w:p w14:paraId="475CB773" w14:textId="77777777" w:rsidR="0009560F" w:rsidRDefault="00000000">
      <w:pPr>
        <w:numPr>
          <w:ilvl w:val="0"/>
          <w:numId w:val="1"/>
        </w:numPr>
        <w:rPr>
          <w:rFonts w:ascii="Times New Roman" w:hAnsi="Times New Roman" w:cs="Times New Roman"/>
        </w:rPr>
      </w:pPr>
      <w:r>
        <w:rPr>
          <w:rFonts w:ascii="Times New Roman" w:hAnsi="Times New Roman" w:cs="Times New Roman"/>
        </w:rPr>
        <w:t>Chromosomal location: Chromosome 7p11.2</w:t>
      </w:r>
    </w:p>
    <w:p w14:paraId="4AF68633" w14:textId="77777777" w:rsidR="0009560F" w:rsidRDefault="00000000">
      <w:pPr>
        <w:numPr>
          <w:ilvl w:val="0"/>
          <w:numId w:val="1"/>
        </w:numPr>
        <w:rPr>
          <w:rFonts w:ascii="Times New Roman" w:hAnsi="Times New Roman" w:cs="Times New Roman"/>
        </w:rPr>
      </w:pPr>
      <w:r>
        <w:rPr>
          <w:rFonts w:ascii="Times New Roman" w:hAnsi="Times New Roman" w:cs="Times New Roman"/>
        </w:rPr>
        <w:t>Gene structure: EGFR contains 32 exons</w:t>
      </w:r>
    </w:p>
    <w:p w14:paraId="6E87410B" w14:textId="77777777" w:rsidR="0009560F" w:rsidRDefault="00000000">
      <w:pPr>
        <w:rPr>
          <w:rFonts w:ascii="Times New Roman" w:hAnsi="Times New Roman" w:cs="Times New Roman"/>
          <w:b/>
          <w:bCs/>
        </w:rPr>
      </w:pPr>
      <w:r>
        <w:rPr>
          <w:rFonts w:ascii="Times New Roman" w:hAnsi="Times New Roman" w:cs="Times New Roman" w:hint="eastAsia"/>
          <w:b/>
          <w:bCs/>
        </w:rPr>
        <w:t xml:space="preserve">3.2 </w:t>
      </w:r>
      <w:r>
        <w:rPr>
          <w:rFonts w:ascii="Times New Roman" w:hAnsi="Times New Roman" w:cs="Times New Roman"/>
          <w:b/>
          <w:bCs/>
        </w:rPr>
        <w:t>Regulatory Evidence from ENCODE</w:t>
      </w:r>
    </w:p>
    <w:p w14:paraId="55D74020" w14:textId="77777777" w:rsidR="0009560F" w:rsidRDefault="00000000">
      <w:pPr>
        <w:rPr>
          <w:rFonts w:ascii="Times New Roman" w:hAnsi="Times New Roman" w:cs="Times New Roman"/>
        </w:rPr>
      </w:pPr>
      <w:r>
        <w:rPr>
          <w:rFonts w:ascii="Times New Roman" w:hAnsi="Times New Roman" w:cs="Times New Roman"/>
        </w:rPr>
        <w:t xml:space="preserve">The most compelling evidence for enhanced regulatory activity comes from the ENCODE </w:t>
      </w:r>
      <w:r>
        <w:rPr>
          <w:rFonts w:ascii="Times New Roman" w:hAnsi="Times New Roman" w:cs="Times New Roman"/>
        </w:rPr>
        <w:lastRenderedPageBreak/>
        <w:t>H3K27ac histone modification track, which marks active promoters and enhancers. The UCSC Genome Browser shows:</w:t>
      </w:r>
    </w:p>
    <w:p w14:paraId="3DC3F2A7" w14:textId="77777777" w:rsidR="0009560F" w:rsidRDefault="00000000">
      <w:pPr>
        <w:numPr>
          <w:ilvl w:val="0"/>
          <w:numId w:val="2"/>
        </w:numPr>
        <w:rPr>
          <w:rFonts w:ascii="Times New Roman" w:hAnsi="Times New Roman" w:cs="Times New Roman"/>
        </w:rPr>
      </w:pPr>
      <w:r>
        <w:rPr>
          <w:rFonts w:ascii="Times New Roman" w:hAnsi="Times New Roman" w:cs="Times New Roman"/>
        </w:rPr>
        <w:t>Strong, high-intensity H3K27ac peaks at the canonical promoter region (Transcription Start Site, TSS)</w:t>
      </w:r>
    </w:p>
    <w:p w14:paraId="2140C125" w14:textId="77777777" w:rsidR="0009560F" w:rsidRDefault="00000000">
      <w:pPr>
        <w:numPr>
          <w:ilvl w:val="0"/>
          <w:numId w:val="2"/>
        </w:numPr>
        <w:rPr>
          <w:rFonts w:ascii="Times New Roman" w:hAnsi="Times New Roman" w:cs="Times New Roman"/>
        </w:rPr>
      </w:pPr>
      <w:r>
        <w:rPr>
          <w:rFonts w:ascii="Times New Roman" w:hAnsi="Times New Roman" w:cs="Times New Roman"/>
        </w:rPr>
        <w:t>Extended H3K27ac enrichment in upstream and intronic regulatory regions</w:t>
      </w:r>
    </w:p>
    <w:p w14:paraId="4C3E5F10" w14:textId="77777777" w:rsidR="0009560F" w:rsidRDefault="00000000">
      <w:pPr>
        <w:rPr>
          <w:rFonts w:ascii="Times New Roman" w:hAnsi="Times New Roman" w:cs="Times New Roman"/>
          <w:b/>
          <w:bCs/>
        </w:rPr>
      </w:pPr>
      <w:r>
        <w:rPr>
          <w:rFonts w:ascii="Times New Roman" w:hAnsi="Times New Roman" w:cs="Times New Roman" w:hint="eastAsia"/>
          <w:b/>
          <w:bCs/>
        </w:rPr>
        <w:t xml:space="preserve">3.3 </w:t>
      </w:r>
      <w:r>
        <w:rPr>
          <w:rFonts w:ascii="Times New Roman" w:hAnsi="Times New Roman" w:cs="Times New Roman"/>
          <w:b/>
          <w:bCs/>
        </w:rPr>
        <w:t>Interpretation</w:t>
      </w:r>
    </w:p>
    <w:p w14:paraId="0FD1D29D" w14:textId="77777777" w:rsidR="0009560F" w:rsidRDefault="00000000">
      <w:pPr>
        <w:rPr>
          <w:rFonts w:ascii="Times New Roman" w:hAnsi="Times New Roman" w:cs="Times New Roman"/>
        </w:rPr>
      </w:pPr>
      <w:r>
        <w:rPr>
          <w:rFonts w:ascii="Times New Roman" w:hAnsi="Times New Roman" w:cs="Times New Roman"/>
        </w:rPr>
        <w:t>The presence of robust H3K27ac signals indicates that the EGFR locus is surrounded by highly accessible and transcriptionally active regulatory elements. The increased PANDA targeting by TFs such as ZNF334 and FOXS1 is likely enabled by their enhanced binding to these active enhancer regions in LUAD. This provides a mechanistic explanation for the observed transcriptional rewiring and elevated EGFR expression.</w:t>
      </w:r>
    </w:p>
    <w:p w14:paraId="7F8996CA" w14:textId="77777777" w:rsidR="0009560F" w:rsidRDefault="00000000">
      <w:pPr>
        <w:rPr>
          <w:rFonts w:ascii="Times New Roman" w:hAnsi="Times New Roman" w:cs="Times New Roman"/>
          <w:sz w:val="24"/>
          <w:szCs w:val="28"/>
        </w:rPr>
      </w:pPr>
      <w:r>
        <w:rPr>
          <w:rFonts w:ascii="Times New Roman" w:hAnsi="Times New Roman" w:cs="Times New Roman"/>
          <w:sz w:val="24"/>
          <w:szCs w:val="28"/>
        </w:rPr>
        <w:t xml:space="preserve">4. </w:t>
      </w:r>
      <w:r>
        <w:rPr>
          <w:rFonts w:ascii="Times New Roman" w:hAnsi="Times New Roman" w:cs="Times New Roman"/>
          <w:b/>
          <w:bCs/>
          <w:sz w:val="24"/>
          <w:szCs w:val="28"/>
        </w:rPr>
        <w:t xml:space="preserve">Functional Consequences of Regulatory Rewiring </w:t>
      </w:r>
      <w:r>
        <w:rPr>
          <w:rFonts w:ascii="Times New Roman" w:hAnsi="Times New Roman" w:cs="Times New Roman"/>
          <w:b/>
          <w:bCs/>
          <w:i/>
          <w:iCs/>
          <w:sz w:val="24"/>
          <w:szCs w:val="28"/>
        </w:rPr>
        <w:t>(Secondary TF-Specific GSEA)</w:t>
      </w:r>
    </w:p>
    <w:p w14:paraId="5C6AC7B4" w14:textId="688837B7" w:rsidR="0009560F" w:rsidRDefault="00000000">
      <w:pPr>
        <w:rPr>
          <w:rFonts w:ascii="Times New Roman" w:hAnsi="Times New Roman" w:cs="Times New Roman"/>
        </w:rPr>
      </w:pPr>
      <w:r>
        <w:rPr>
          <w:rFonts w:ascii="Times New Roman" w:hAnsi="Times New Roman" w:cs="Times New Roman"/>
        </w:rPr>
        <w:t>To understand the broader functional impact of EGFR-targeting TFs, we performed TF-specific Gene Set Enrichment Analysis (GSEA) focusing on TFs such as ARID3A and FOXF1.</w:t>
      </w:r>
      <w:r w:rsidR="00614174" w:rsidRPr="00614174">
        <w:t xml:space="preserve"> </w:t>
      </w:r>
      <w:r w:rsidR="00614174" w:rsidRPr="00614174">
        <w:rPr>
          <w:rFonts w:ascii="Times New Roman" w:hAnsi="Times New Roman" w:cs="Times New Roman"/>
        </w:rPr>
        <w:t>A global overview of significant TF–pathway associations is shown in Figure 2, highlighting coordinated shifts in regulatory programs.</w:t>
      </w:r>
    </w:p>
    <w:p w14:paraId="683B042B" w14:textId="77777777" w:rsidR="00614174" w:rsidRDefault="00614174">
      <w:pPr>
        <w:rPr>
          <w:rFonts w:ascii="Times New Roman" w:hAnsi="Times New Roman" w:cs="Times New Roman"/>
        </w:rPr>
      </w:pPr>
    </w:p>
    <w:p w14:paraId="768267EC" w14:textId="03D9B0F7" w:rsidR="00614174" w:rsidRPr="00614174" w:rsidRDefault="00614174" w:rsidP="00614174">
      <w:pPr>
        <w:rPr>
          <w:rFonts w:ascii="Times New Roman" w:hAnsi="Times New Roman" w:cs="Times New Roman"/>
        </w:rPr>
      </w:pPr>
      <w:r w:rsidRPr="00614174">
        <w:rPr>
          <w:rFonts w:ascii="Times New Roman" w:hAnsi="Times New Roman" w:cs="Times New Roman"/>
        </w:rPr>
        <w:t>Figure 2. Pathway-level consequences of TF regulatory rewiring</w:t>
      </w:r>
    </w:p>
    <w:p w14:paraId="418B64D5" w14:textId="698A722A" w:rsidR="00614174" w:rsidRDefault="00614174" w:rsidP="00614174">
      <w:pPr>
        <w:rPr>
          <w:rFonts w:ascii="Times New Roman" w:hAnsi="Times New Roman" w:cs="Times New Roman"/>
        </w:rPr>
      </w:pPr>
      <w:r w:rsidRPr="00614174">
        <w:rPr>
          <w:rFonts w:ascii="Times New Roman" w:hAnsi="Times New Roman" w:cs="Times New Roman"/>
        </w:rPr>
        <w:t xml:space="preserve">Heatmap summarizing significant KEGG pathway enrichments from TF-specific gene set enrichment analysis (GSEA). Normalized enrichment scores (NES) reflect shifts in regulatory targeting by rewired TFs in LUAD relative to </w:t>
      </w:r>
      <w:proofErr w:type="spellStart"/>
      <w:r w:rsidRPr="00614174">
        <w:rPr>
          <w:rFonts w:ascii="Times New Roman" w:hAnsi="Times New Roman" w:cs="Times New Roman"/>
        </w:rPr>
        <w:t>GTEx</w:t>
      </w:r>
      <w:proofErr w:type="spellEnd"/>
      <w:r w:rsidRPr="00614174">
        <w:rPr>
          <w:rFonts w:ascii="Times New Roman" w:hAnsi="Times New Roman" w:cs="Times New Roman"/>
        </w:rPr>
        <w:t xml:space="preserve"> lung. Only TF–pathway associations passing global BH-adjusted significance thresholds are shown.</w:t>
      </w:r>
    </w:p>
    <w:p w14:paraId="520D69E1" w14:textId="658B73E8" w:rsidR="00614174" w:rsidRDefault="00614174">
      <w:pPr>
        <w:rPr>
          <w:rFonts w:ascii="Times New Roman" w:hAnsi="Times New Roman" w:cs="Times New Roman"/>
        </w:rPr>
      </w:pPr>
      <w:r w:rsidRPr="00614174">
        <w:rPr>
          <w:rFonts w:ascii="Times New Roman" w:hAnsi="Times New Roman" w:cs="Times New Roman"/>
          <w:noProof/>
        </w:rPr>
        <w:lastRenderedPageBreak/>
        <w:drawing>
          <wp:inline distT="0" distB="0" distL="0" distR="0" wp14:anchorId="7C723A51" wp14:editId="5FF53E51">
            <wp:extent cx="5274310" cy="3622040"/>
            <wp:effectExtent l="0" t="0" r="2540" b="0"/>
            <wp:docPr id="1088691578"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91578" name="图片 2" descr="表格&#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622040"/>
                    </a:xfrm>
                    <a:prstGeom prst="rect">
                      <a:avLst/>
                    </a:prstGeom>
                    <a:noFill/>
                    <a:ln>
                      <a:noFill/>
                    </a:ln>
                  </pic:spPr>
                </pic:pic>
              </a:graphicData>
            </a:graphic>
          </wp:inline>
        </w:drawing>
      </w:r>
    </w:p>
    <w:p w14:paraId="077C3C34" w14:textId="77777777" w:rsidR="0009560F" w:rsidRDefault="00000000">
      <w:pPr>
        <w:rPr>
          <w:rFonts w:ascii="Times New Roman" w:hAnsi="Times New Roman" w:cs="Times New Roman"/>
          <w:b/>
          <w:bCs/>
        </w:rPr>
      </w:pPr>
      <w:r>
        <w:rPr>
          <w:rFonts w:ascii="Times New Roman" w:hAnsi="Times New Roman" w:cs="Times New Roman"/>
          <w:b/>
          <w:bCs/>
        </w:rPr>
        <w:t>4.1 Metabolic and Translational Reprogramming</w:t>
      </w:r>
    </w:p>
    <w:p w14:paraId="441E5B60" w14:textId="77777777" w:rsidR="0009560F" w:rsidRDefault="00000000">
      <w:pPr>
        <w:rPr>
          <w:rFonts w:ascii="Times New Roman" w:hAnsi="Times New Roman" w:cs="Times New Roman"/>
        </w:rPr>
      </w:pPr>
      <w:r>
        <w:rPr>
          <w:rFonts w:ascii="Times New Roman" w:hAnsi="Times New Roman" w:cs="Times New Roman"/>
        </w:rPr>
        <w:t>TFs showing high Δ Targeting toward EGFR exhibited significantly reduced targeting of basal cellular pathways, including:</w:t>
      </w:r>
    </w:p>
    <w:p w14:paraId="5BA44C76" w14:textId="77777777" w:rsidR="0009560F" w:rsidRDefault="00000000">
      <w:pPr>
        <w:numPr>
          <w:ilvl w:val="0"/>
          <w:numId w:val="3"/>
        </w:numPr>
        <w:rPr>
          <w:rFonts w:ascii="Times New Roman" w:hAnsi="Times New Roman" w:cs="Times New Roman"/>
        </w:rPr>
      </w:pPr>
      <w:r>
        <w:rPr>
          <w:rFonts w:ascii="Times New Roman" w:hAnsi="Times New Roman" w:cs="Times New Roman"/>
        </w:rPr>
        <w:t>KEGG_RIBOSOME: NES ≈ −3.7;</w:t>
      </w:r>
      <w:r>
        <w:rPr>
          <w:rFonts w:ascii="Times New Roman" w:hAnsi="Times New Roman" w:cs="Times New Roman"/>
          <w:i/>
          <w:iCs/>
        </w:rPr>
        <w:t>q-value</w:t>
      </w:r>
      <w:r>
        <w:rPr>
          <w:rFonts w:ascii="Times New Roman" w:hAnsi="Times New Roman" w:cs="Times New Roman"/>
        </w:rPr>
        <w:t xml:space="preserve"> &lt; 1 × 10⁻</w:t>
      </w:r>
      <w:r>
        <w:rPr>
          <w:rFonts w:ascii="Times New Roman" w:eastAsia="等线" w:hAnsi="Times New Roman" w:cs="Times New Roman"/>
        </w:rPr>
        <w:t>²</w:t>
      </w:r>
      <w:r>
        <w:rPr>
          <w:rFonts w:ascii="Times New Roman" w:hAnsi="Times New Roman" w:cs="Times New Roman"/>
        </w:rPr>
        <w:t>⁰</w:t>
      </w:r>
    </w:p>
    <w:p w14:paraId="49163BDC" w14:textId="77777777" w:rsidR="0009560F" w:rsidRDefault="00000000">
      <w:pPr>
        <w:numPr>
          <w:ilvl w:val="0"/>
          <w:numId w:val="3"/>
        </w:numPr>
        <w:rPr>
          <w:rFonts w:ascii="Times New Roman" w:hAnsi="Times New Roman" w:cs="Times New Roman"/>
        </w:rPr>
      </w:pPr>
      <w:r>
        <w:rPr>
          <w:rFonts w:ascii="Times New Roman" w:hAnsi="Times New Roman" w:cs="Times New Roman"/>
        </w:rPr>
        <w:t>KEGG_OXIDATIVE_PHOSPHORYLATION: NES ≈ −2.9;</w:t>
      </w:r>
      <w:r>
        <w:rPr>
          <w:rFonts w:ascii="Times New Roman" w:hAnsi="Times New Roman" w:cs="Times New Roman"/>
          <w:i/>
          <w:iCs/>
        </w:rPr>
        <w:t>q-value</w:t>
      </w:r>
      <w:r>
        <w:rPr>
          <w:rFonts w:ascii="Times New Roman" w:hAnsi="Times New Roman" w:cs="Times New Roman"/>
        </w:rPr>
        <w:t xml:space="preserve"> &lt; 1 × 10⁻</w:t>
      </w:r>
      <w:r>
        <w:rPr>
          <w:rFonts w:ascii="Times New Roman" w:eastAsia="等线" w:hAnsi="Times New Roman" w:cs="Times New Roman"/>
        </w:rPr>
        <w:t>¹</w:t>
      </w:r>
      <w:r>
        <w:rPr>
          <w:rFonts w:ascii="Times New Roman" w:hAnsi="Times New Roman" w:cs="Times New Roman"/>
        </w:rPr>
        <w:t>⁰</w:t>
      </w:r>
    </w:p>
    <w:p w14:paraId="75033D76" w14:textId="59F0356A" w:rsidR="0009560F" w:rsidRDefault="00000000">
      <w:pPr>
        <w:rPr>
          <w:rFonts w:ascii="Times New Roman" w:hAnsi="Times New Roman" w:cs="Times New Roman"/>
        </w:rPr>
      </w:pPr>
      <w:r>
        <w:rPr>
          <w:rFonts w:ascii="Times New Roman" w:hAnsi="Times New Roman" w:cs="Times New Roman"/>
        </w:rPr>
        <w:t>This suggests a global regulatory shift away from cellular housekeeping functions toward pro-proliferative and oncogenic programs.</w:t>
      </w:r>
      <w:r w:rsidR="00F30BF0">
        <w:rPr>
          <w:rFonts w:ascii="Times New Roman" w:hAnsi="Times New Roman" w:cs="Times New Roman" w:hint="eastAsia"/>
        </w:rPr>
        <w:t xml:space="preserve"> </w:t>
      </w:r>
    </w:p>
    <w:p w14:paraId="3B2C8E79" w14:textId="165C22D7" w:rsidR="00F30BF0" w:rsidRDefault="00F30BF0">
      <w:pPr>
        <w:rPr>
          <w:rFonts w:ascii="Times New Roman" w:hAnsi="Times New Roman" w:cs="Times New Roman" w:hint="eastAsia"/>
        </w:rPr>
      </w:pPr>
      <w:r w:rsidRPr="00F30BF0">
        <w:rPr>
          <w:rFonts w:ascii="Times New Roman" w:hAnsi="Times New Roman" w:cs="Times New Roman"/>
        </w:rPr>
        <w:t>In addition to metabolic and translational pathways, multiple immune and inflammatory pathways (e.g., cytokine–cytokine receptor interaction, complement/coagulation cascades, and allograft rejection-related gene sets) show broadly negative NES across rewired TFs, suggesting a coordinated reduction of immune/homeostatic regulatory targeting in LUAD.</w:t>
      </w:r>
      <w:r>
        <w:rPr>
          <w:rFonts w:ascii="Times New Roman" w:hAnsi="Times New Roman" w:cs="Times New Roman" w:hint="eastAsia"/>
        </w:rPr>
        <w:t xml:space="preserve"> </w:t>
      </w:r>
      <w:r w:rsidRPr="00F30BF0">
        <w:rPr>
          <w:rFonts w:ascii="Times New Roman" w:hAnsi="Times New Roman" w:cs="Times New Roman"/>
        </w:rPr>
        <w:t>Conversely, positive enrichment of ERBB signaling and endocytosis-related pathways is consistent with a shift toward receptor tyrosine kinase–associated programs, aligning with enhanced EGFR regulatory targeting in the tumor network.</w:t>
      </w:r>
    </w:p>
    <w:p w14:paraId="1859D034" w14:textId="77777777" w:rsidR="0009560F" w:rsidRDefault="00000000">
      <w:pPr>
        <w:rPr>
          <w:rFonts w:ascii="Times New Roman" w:hAnsi="Times New Roman" w:cs="Times New Roman"/>
          <w:b/>
          <w:bCs/>
        </w:rPr>
      </w:pPr>
      <w:r>
        <w:rPr>
          <w:rFonts w:ascii="Times New Roman" w:hAnsi="Times New Roman" w:cs="Times New Roman"/>
          <w:b/>
          <w:bCs/>
        </w:rPr>
        <w:t>4.2 Signal Maintenance and Protein Stability</w:t>
      </w:r>
    </w:p>
    <w:p w14:paraId="489529F1" w14:textId="77777777" w:rsidR="0009560F" w:rsidRDefault="00000000">
      <w:pPr>
        <w:rPr>
          <w:rFonts w:ascii="Times New Roman" w:hAnsi="Times New Roman" w:cs="Times New Roman"/>
        </w:rPr>
      </w:pPr>
      <w:r>
        <w:rPr>
          <w:rFonts w:ascii="Times New Roman" w:hAnsi="Times New Roman" w:cs="Times New Roman"/>
        </w:rPr>
        <w:t>Notably, the transcription factor FOXF1 displayed significantly enhanced targeting of the:</w:t>
      </w:r>
    </w:p>
    <w:p w14:paraId="1D76CE3B" w14:textId="77777777" w:rsidR="0009560F" w:rsidRDefault="00000000">
      <w:pPr>
        <w:numPr>
          <w:ilvl w:val="0"/>
          <w:numId w:val="4"/>
        </w:numPr>
        <w:rPr>
          <w:rFonts w:ascii="Times New Roman" w:hAnsi="Times New Roman" w:cs="Times New Roman"/>
        </w:rPr>
      </w:pPr>
      <w:r>
        <w:rPr>
          <w:rFonts w:ascii="Times New Roman" w:hAnsi="Times New Roman" w:cs="Times New Roman"/>
        </w:rPr>
        <w:t xml:space="preserve">KEGG_UBIQUITIN_MEDIATED_PROTEOLYSIS pathway: NES ≈ +2.25; </w:t>
      </w:r>
      <w:r>
        <w:rPr>
          <w:rFonts w:ascii="Times New Roman" w:hAnsi="Times New Roman" w:cs="Times New Roman"/>
          <w:i/>
          <w:iCs/>
        </w:rPr>
        <w:t>q-value</w:t>
      </w:r>
      <w:r>
        <w:rPr>
          <w:rFonts w:ascii="Times New Roman" w:hAnsi="Times New Roman" w:cs="Times New Roman"/>
        </w:rPr>
        <w:t xml:space="preserve"> ≈ 4.8 × 10⁻⁹</w:t>
      </w:r>
    </w:p>
    <w:p w14:paraId="71D27271" w14:textId="77777777" w:rsidR="0009560F" w:rsidRDefault="00000000">
      <w:pPr>
        <w:rPr>
          <w:rFonts w:ascii="Times New Roman" w:hAnsi="Times New Roman" w:cs="Times New Roman"/>
        </w:rPr>
      </w:pPr>
      <w:r>
        <w:rPr>
          <w:rFonts w:ascii="Times New Roman" w:hAnsi="Times New Roman" w:cs="Times New Roman"/>
        </w:rPr>
        <w:lastRenderedPageBreak/>
        <w:t>Ubiquitination plays a critical role in regulating receptor tyrosine kinases, including EGFR, by controlling protein degradation and signal termination. The rewired regulation of this pathway suggests a coordinated mechanism that may modulate EGFR stability or prolong signaling duration, further promoting uncontrolled cell growth.</w:t>
      </w:r>
    </w:p>
    <w:p w14:paraId="16458B11" w14:textId="0788BB3A" w:rsidR="00614174" w:rsidRDefault="00614174">
      <w:pPr>
        <w:rPr>
          <w:rFonts w:ascii="Times New Roman" w:hAnsi="Times New Roman" w:cs="Times New Roman"/>
        </w:rPr>
      </w:pPr>
      <w:r w:rsidRPr="00614174">
        <w:rPr>
          <w:rFonts w:ascii="Times New Roman" w:hAnsi="Times New Roman" w:cs="Times New Roman"/>
        </w:rPr>
        <w:t>To make these pathway shifts more concrete, Figure 3 summarizes the most significant enriched KEGG pathways for representative highly rewired TFs.</w:t>
      </w:r>
    </w:p>
    <w:p w14:paraId="14DF0F57" w14:textId="77777777" w:rsidR="00614174" w:rsidRPr="00614174" w:rsidRDefault="00614174" w:rsidP="00614174">
      <w:pPr>
        <w:rPr>
          <w:rFonts w:ascii="Times New Roman" w:hAnsi="Times New Roman" w:cs="Times New Roman"/>
        </w:rPr>
      </w:pPr>
      <w:r w:rsidRPr="00614174">
        <w:rPr>
          <w:rFonts w:ascii="Times New Roman" w:hAnsi="Times New Roman" w:cs="Times New Roman"/>
        </w:rPr>
        <w:t>Figure 3. Representative TF-specific pathway enrichments</w:t>
      </w:r>
    </w:p>
    <w:p w14:paraId="4C5C3075" w14:textId="77777777" w:rsidR="00614174" w:rsidRPr="00614174" w:rsidRDefault="00614174" w:rsidP="00614174">
      <w:pPr>
        <w:rPr>
          <w:rFonts w:ascii="Times New Roman" w:hAnsi="Times New Roman" w:cs="Times New Roman"/>
        </w:rPr>
      </w:pPr>
      <w:r w:rsidRPr="00614174">
        <w:rPr>
          <w:rFonts w:ascii="Times New Roman" w:hAnsi="Times New Roman" w:cs="Times New Roman"/>
        </w:rPr>
        <w:t>Bubble plots showing enriched KEGG pathways for representative highly rewired transcription factors. The x-axis indicates BH-adjusted p-values (global), bubble size corresponds to pathway gene-set size, and color represents the normalized enrichment score (NES), with positive and negative values indicating increased or decreased targeting in LUAD.</w:t>
      </w:r>
    </w:p>
    <w:p w14:paraId="353904C3" w14:textId="77777777" w:rsidR="00614174" w:rsidRPr="00614174" w:rsidRDefault="00614174">
      <w:pPr>
        <w:rPr>
          <w:rFonts w:ascii="Times New Roman" w:hAnsi="Times New Roman" w:cs="Times New Roman"/>
        </w:rPr>
      </w:pPr>
    </w:p>
    <w:p w14:paraId="3D4B5271" w14:textId="3983A5F7" w:rsidR="00614174" w:rsidRDefault="00614174">
      <w:pPr>
        <w:rPr>
          <w:rFonts w:ascii="Times New Roman" w:hAnsi="Times New Roman" w:cs="Times New Roman"/>
        </w:rPr>
      </w:pPr>
      <w:r w:rsidRPr="00614174">
        <w:rPr>
          <w:rFonts w:ascii="Times New Roman" w:hAnsi="Times New Roman" w:cs="Times New Roman"/>
          <w:noProof/>
        </w:rPr>
        <w:drawing>
          <wp:inline distT="0" distB="0" distL="0" distR="0" wp14:anchorId="1B4DB128" wp14:editId="2BFD7CFB">
            <wp:extent cx="5274310" cy="3893185"/>
            <wp:effectExtent l="0" t="0" r="2540" b="0"/>
            <wp:docPr id="61157976" name="图片 3"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7976" name="图片 3" descr="日程表&#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893185"/>
                    </a:xfrm>
                    <a:prstGeom prst="rect">
                      <a:avLst/>
                    </a:prstGeom>
                    <a:noFill/>
                    <a:ln>
                      <a:noFill/>
                    </a:ln>
                  </pic:spPr>
                </pic:pic>
              </a:graphicData>
            </a:graphic>
          </wp:inline>
        </w:drawing>
      </w:r>
    </w:p>
    <w:p w14:paraId="317D3E0E" w14:textId="77777777" w:rsidR="0009560F" w:rsidRDefault="00000000">
      <w:pPr>
        <w:rPr>
          <w:rFonts w:ascii="Times New Roman" w:hAnsi="Times New Roman" w:cs="Times New Roman"/>
          <w:b/>
          <w:bCs/>
          <w:sz w:val="24"/>
          <w:szCs w:val="28"/>
        </w:rPr>
      </w:pPr>
      <w:r>
        <w:rPr>
          <w:rFonts w:ascii="Times New Roman" w:hAnsi="Times New Roman" w:cs="Times New Roman"/>
          <w:b/>
          <w:bCs/>
          <w:sz w:val="24"/>
          <w:szCs w:val="28"/>
        </w:rPr>
        <w:t>5. Integrated Conclusion</w:t>
      </w:r>
    </w:p>
    <w:p w14:paraId="2CC2733B" w14:textId="77777777" w:rsidR="0009560F" w:rsidRDefault="00000000">
      <w:pPr>
        <w:rPr>
          <w:rFonts w:ascii="Times New Roman" w:hAnsi="Times New Roman" w:cs="Times New Roman"/>
        </w:rPr>
      </w:pPr>
      <w:r>
        <w:rPr>
          <w:rFonts w:ascii="Times New Roman" w:hAnsi="Times New Roman" w:cs="Times New Roman"/>
        </w:rPr>
        <w:t>By integrating network inference, functional pathway analysis, and genomic context, we provide a cohesive explanation for the role of EGFR in LUAD pathogenesis:</w:t>
      </w:r>
    </w:p>
    <w:p w14:paraId="3ACB7799" w14:textId="77777777" w:rsidR="0009560F" w:rsidRDefault="00000000">
      <w:pPr>
        <w:numPr>
          <w:ilvl w:val="0"/>
          <w:numId w:val="5"/>
        </w:numPr>
        <w:rPr>
          <w:rFonts w:ascii="Times New Roman" w:hAnsi="Times New Roman" w:cs="Times New Roman"/>
        </w:rPr>
      </w:pPr>
      <w:r>
        <w:rPr>
          <w:rFonts w:ascii="Times New Roman" w:hAnsi="Times New Roman" w:cs="Times New Roman"/>
        </w:rPr>
        <w:t>Direct Regulatory Drivers:</w:t>
      </w:r>
      <w:r>
        <w:rPr>
          <w:rFonts w:ascii="Times New Roman" w:hAnsi="Times New Roman" w:cs="Times New Roman"/>
        </w:rPr>
        <w:br/>
      </w:r>
      <w:r>
        <w:rPr>
          <w:rFonts w:ascii="Times New Roman" w:hAnsi="Times New Roman" w:cs="Times New Roman"/>
        </w:rPr>
        <w:lastRenderedPageBreak/>
        <w:t>A specific subset of transcription factors (e.g., ZNF334, ZNF384) shows dramatically increased regulatory influence on EGFR in LUAD.</w:t>
      </w:r>
    </w:p>
    <w:p w14:paraId="2AB80844" w14:textId="77777777" w:rsidR="0009560F" w:rsidRDefault="00000000">
      <w:pPr>
        <w:numPr>
          <w:ilvl w:val="0"/>
          <w:numId w:val="5"/>
        </w:numPr>
        <w:rPr>
          <w:rFonts w:ascii="Times New Roman" w:hAnsi="Times New Roman" w:cs="Times New Roman"/>
        </w:rPr>
      </w:pPr>
      <w:r>
        <w:rPr>
          <w:rFonts w:ascii="Times New Roman" w:hAnsi="Times New Roman" w:cs="Times New Roman"/>
        </w:rPr>
        <w:t>Genomic Mechanism:</w:t>
      </w:r>
      <w:r>
        <w:rPr>
          <w:rFonts w:ascii="Times New Roman" w:hAnsi="Times New Roman" w:cs="Times New Roman"/>
        </w:rPr>
        <w:br/>
        <w:t>This enhanced influence is physically supported by H3K27ac-marked active enhancers surrounding the EGFR locus, enabling stronger TF binding and transcriptional activation.</w:t>
      </w:r>
    </w:p>
    <w:p w14:paraId="7121F0D1" w14:textId="77777777" w:rsidR="0009560F" w:rsidRDefault="00000000">
      <w:pPr>
        <w:numPr>
          <w:ilvl w:val="0"/>
          <w:numId w:val="5"/>
        </w:numPr>
        <w:rPr>
          <w:rFonts w:ascii="Times New Roman" w:hAnsi="Times New Roman" w:cs="Times New Roman"/>
        </w:rPr>
      </w:pPr>
      <w:r>
        <w:rPr>
          <w:rFonts w:ascii="Times New Roman" w:hAnsi="Times New Roman" w:cs="Times New Roman"/>
        </w:rPr>
        <w:t>Coordinated Oncogenic Program:</w:t>
      </w:r>
      <w:r>
        <w:rPr>
          <w:rFonts w:ascii="Times New Roman" w:hAnsi="Times New Roman" w:cs="Times New Roman"/>
        </w:rPr>
        <w:br/>
        <w:t>The same TFs that upregulate EGFR also globally rewire pathways related to protein degradation, metabolism, and translation, reshaping the cellular environment to sustain malignancy.</w:t>
      </w:r>
    </w:p>
    <w:p w14:paraId="3E207325" w14:textId="77777777" w:rsidR="0009560F" w:rsidRDefault="00000000">
      <w:pPr>
        <w:rPr>
          <w:rFonts w:ascii="Times New Roman" w:hAnsi="Times New Roman" w:cs="Times New Roman"/>
        </w:rPr>
      </w:pPr>
      <w:r>
        <w:rPr>
          <w:rFonts w:ascii="Times New Roman" w:hAnsi="Times New Roman" w:cs="Times New Roman"/>
        </w:rPr>
        <w:t>Overall, EGFR contributes to LUAD not only through its intrinsic oncogenic signaling but also as a central hub within a massively reorganized transcriptional regulatory network.</w:t>
      </w:r>
    </w:p>
    <w:p w14:paraId="7DEE1799" w14:textId="77777777" w:rsidR="0009560F" w:rsidRDefault="0009560F">
      <w:pPr>
        <w:rPr>
          <w:rFonts w:ascii="Times New Roman" w:hAnsi="Times New Roman" w:cs="Times New Roman"/>
        </w:rPr>
      </w:pPr>
    </w:p>
    <w:sectPr w:rsidR="0009560F">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4C6F" w14:textId="77777777" w:rsidR="00A96343" w:rsidRDefault="00A96343">
      <w:pPr>
        <w:spacing w:line="240" w:lineRule="auto"/>
      </w:pPr>
      <w:r>
        <w:separator/>
      </w:r>
    </w:p>
  </w:endnote>
  <w:endnote w:type="continuationSeparator" w:id="0">
    <w:p w14:paraId="39630580" w14:textId="77777777" w:rsidR="00A96343" w:rsidRDefault="00A96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B3687" w14:textId="77777777" w:rsidR="00A96343" w:rsidRDefault="00A96343">
      <w:pPr>
        <w:spacing w:after="0"/>
      </w:pPr>
      <w:r>
        <w:separator/>
      </w:r>
    </w:p>
  </w:footnote>
  <w:footnote w:type="continuationSeparator" w:id="0">
    <w:p w14:paraId="3B55C270" w14:textId="77777777" w:rsidR="00A96343" w:rsidRDefault="00A963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24B2"/>
    <w:multiLevelType w:val="multilevel"/>
    <w:tmpl w:val="1A252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E254F28"/>
    <w:multiLevelType w:val="multilevel"/>
    <w:tmpl w:val="3E254F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D421D42"/>
    <w:multiLevelType w:val="multilevel"/>
    <w:tmpl w:val="4D421D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16A1ED8"/>
    <w:multiLevelType w:val="multilevel"/>
    <w:tmpl w:val="516A1E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E173F54"/>
    <w:multiLevelType w:val="multilevel"/>
    <w:tmpl w:val="6E173F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21602661">
    <w:abstractNumId w:val="1"/>
  </w:num>
  <w:num w:numId="2" w16cid:durableId="1769235563">
    <w:abstractNumId w:val="3"/>
  </w:num>
  <w:num w:numId="3" w16cid:durableId="768892490">
    <w:abstractNumId w:val="4"/>
  </w:num>
  <w:num w:numId="4" w16cid:durableId="1888176328">
    <w:abstractNumId w:val="0"/>
  </w:num>
  <w:num w:numId="5" w16cid:durableId="1187408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4B9"/>
    <w:rsid w:val="0009560F"/>
    <w:rsid w:val="000F1191"/>
    <w:rsid w:val="002164B9"/>
    <w:rsid w:val="004A4D67"/>
    <w:rsid w:val="00614174"/>
    <w:rsid w:val="00867321"/>
    <w:rsid w:val="00A96343"/>
    <w:rsid w:val="00CA2295"/>
    <w:rsid w:val="00F30BF0"/>
    <w:rsid w:val="1E012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F3C76"/>
  <w15:docId w15:val="{5620826B-9AD9-458F-B014-3162A394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Zichen Deng</dc:creator>
  <cp:lastModifiedBy>Zichen Deng</cp:lastModifiedBy>
  <cp:revision>4</cp:revision>
  <dcterms:created xsi:type="dcterms:W3CDTF">2025-12-14T23:41:00Z</dcterms:created>
  <dcterms:modified xsi:type="dcterms:W3CDTF">2025-12-15T00:18:00Z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eyJoZGlkIjoiNjRlNmU1YmFmMjE3YWQ4YWFhNmI1NmExMWY2MDljOTEiLCJ1c2VySWQiOiI4MDYwODM0NjQifQ==</vt:lpwstr>
  </property>
  <property fmtid="{D5CDD505-2E9C-101B-9397-08002B2CF9AE}" pid="3" name="KSOProductBuildVer">
    <vt:lpwstr>2052-12.1.0.24034</vt:lpwstr>
  </property>
  <property fmtid="{D5CDD505-2E9C-101B-9397-08002B2CF9AE}" pid="4" name="ICV">
    <vt:lpwstr>506D8BC51A4D43419DC1B84A10DB724C_12</vt:lpwstr>
  </property>
</Properties>
</file>