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SimHei" w:hAnsi="SimHei" w:eastAsia="黑体"/>
          <w:b/>
          <w:sz w:val="36"/>
        </w:rPr>
        <w:t>LLM辅助编码提示词与人工复核协议</w:t>
      </w:r>
    </w:p>
    <w:p>
      <w:pPr>
        <w:ind w:firstLine="0"/>
        <w:jc w:val="center"/>
      </w:pPr>
      <w:r>
        <w:rPr>
          <w:rFonts w:ascii="Times New Roman" w:hAnsi="Times New Roman" w:eastAsia="宋体"/>
          <w:i/>
          <w:sz w:val="22"/>
        </w:rPr>
        <w:t>用于中国自然科学基金遗产研究议程项目编码</w:t>
      </w:r>
    </w:p>
    <w:p>
      <w:pPr>
        <w:pStyle w:val="Heading1"/>
      </w:pPr>
      <w:r>
        <w:t>一、编码目标</w:t>
      </w:r>
    </w:p>
    <w:p>
      <w:pPr>
        <w:jc w:val="both"/>
      </w:pPr>
      <w:r>
        <w:t>本协议用于将现有规则编码升级为LLM辅助特征提取，并通过人工复核形成可用于投稿的方法证据。编码对象为中国自然科学基金遗产相关项目，目标是识别每个项目的遗产对象、研究取向、方法组合、空间尺度、利益相关者和成果路径。</w:t>
      </w:r>
    </w:p>
    <w:p>
      <w:pPr>
        <w:pStyle w:val="Heading1"/>
      </w:pPr>
      <w:r>
        <w:t>二、输入单元</w:t>
      </w:r>
    </w:p>
    <w:p>
      <w:pPr>
        <w:pStyle w:val="ListBullet"/>
        <w:ind w:firstLine="0"/>
      </w:pPr>
      <w:r>
        <w:t>项目批准号、项目题名、项目类别、申请代码、依托单位。</w:t>
      </w:r>
    </w:p>
    <w:p>
      <w:pPr>
        <w:pStyle w:val="ListBullet"/>
        <w:ind w:firstLine="0"/>
      </w:pPr>
      <w:r>
        <w:t>项目中文摘要、英文摘要、结题中文摘要。</w:t>
      </w:r>
    </w:p>
    <w:p>
      <w:pPr>
        <w:pStyle w:val="ListBullet"/>
        <w:ind w:firstLine="0"/>
      </w:pPr>
      <w:r>
        <w:t>结题报告中与研究目标、研究内容、主要进展、主要结论和成果产出相关的摘录。</w:t>
      </w:r>
    </w:p>
    <w:p>
      <w:pPr>
        <w:pStyle w:val="ListBullet"/>
        <w:ind w:firstLine="0"/>
      </w:pPr>
      <w:r>
        <w:t>避免直接输入整份结题报告中的长篇行政表格，优先使用能说明研究问题、方法、发现和成果的文本。</w:t>
      </w:r>
    </w:p>
    <w:p>
      <w:pPr>
        <w:pStyle w:val="Heading1"/>
      </w:pPr>
      <w:r>
        <w:t>三、固定编码表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6"/>
              </w:rPr>
              <w:t>字段</w:t>
            </w:r>
          </w:p>
        </w:tc>
        <w:tc>
          <w:tcPr>
            <w:tcW w:type="dxa" w:w="470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6"/>
              </w:rPr>
              <w:t>标签或说明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heritage_objects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建筑与建成遗产；工业遗产；文化景观与线性遗产；世界与自然遗产；乡村聚落与农业文化遗产；非物质与活态遗产；其他或未说明。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research_orientations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知识与价值识别；技术保护与监测；数字记录与信息基础设施；活化与适应性再利用；治理、参与与社会价值；风险、韧性与生态安全。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method_assemblages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档案与历史分析；GIS、遥感与空间分析；BIM、三维扫描与可视化；模型、模拟与指标评价；问卷、访谈与社会测量；材料、结构与环境测试；案例型定性或混合方法。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spatial_scale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国家或比较；区域或廊道；城市街区或社区；乡村聚落或景观；遗址或建筑；混合或未说明。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stakeholders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政府与遗产管理机构；专家与专业人员；社区与居民；游客与参观者；产业与市场主体；国际组织；未明确。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outcome_pathway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期刊论文；会议论文；专著；专利；软件/数据库/平台；标准/导则；政策/规划建议；人才培养；未明确。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turn_strength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activation_turn、digital_turn、resilience_or_risk_turn分别编码为：不存在、弱、中、强。</w:t>
            </w:r>
          </w:p>
        </w:tc>
      </w:tr>
    </w:tbl>
    <w:p>
      <w:pPr>
        <w:pStyle w:val="Heading1"/>
      </w:pPr>
      <w:r>
        <w:t>四、LLM提示词模板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你是一名遗产研究领域的研究者，正在为一项“国家自然科学基金遗产研究议程”的系统性研究项目书-成果综述进行项目编码。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任务：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请阅读下面的项目信息，并严格按照固定编码表进行分类。只能依据项目题名、摘要、结题摘要和结题报告摘录中的证据编码。多标签维度允许选择多个标签；如果证据不足，请选择“未明确”或“混合/未说明”，不要猜测。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定义：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- “活化”包括适应性再利用、再生、价值实现、文旅融合、公共使用、活态传承等。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- “数字化转向”包括GIS、BIM/HBIM、三维扫描、点云、遥感、数据库、数字孪生、可视化、智能识别、虚拟/沉浸式系统等。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- “风险/韧性”包括生态安全、旅游扰动、灾害、劣化风险、监测、预警、脆弱性、韧性和环境压力等。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请返回严格JSON，schema如下：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{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"approval_no": "",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"heritage_objects": [],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"research_orientations": [],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"method_assemblages": [],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"spatial_scale": "",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"stakeholders": [],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"outcome_pathway": [],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"activation_turn": "",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"digital_turn": "",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"resilience_or_risk_turn": "",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"one_sentence_rationale": "",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 xml:space="preserve">  "evidence_phrases": []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}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项目信息：</w:t>
      </w:r>
    </w:p>
    <w:p>
      <w:pPr>
        <w:spacing w:line="240" w:lineRule="exact"/>
        <w:ind w:firstLine="0"/>
      </w:pPr>
      <w:r>
        <w:rPr>
          <w:rFonts w:ascii="Courier New" w:hAnsi="Courier New" w:eastAsia="宋体"/>
          <w:color w:val="282828"/>
          <w:sz w:val="17"/>
        </w:rPr>
        <w:t>{PROJECT_TEXT}</w:t>
      </w:r>
    </w:p>
    <w:p>
      <w:pPr>
        <w:pStyle w:val="Heading1"/>
      </w:pPr>
      <w:r>
        <w:t>五、人工验证设计</w:t>
      </w:r>
    </w:p>
    <w:p>
      <w:pPr>
        <w:jc w:val="both"/>
      </w:pPr>
      <w:r>
        <w:t>建议至少验证样本的20%-30%。以当前142个清洗后项目为例，最低验证30项，更稳妥的设计为45项。验证样本需按时期、项目类型、学科代码和规则编码得到的主主题进行分层抽样。</w:t>
      </w:r>
    </w:p>
    <w:p>
      <w:pPr>
        <w:pStyle w:val="ListBullet"/>
        <w:ind w:firstLine="0"/>
      </w:pPr>
      <w:r>
        <w:t>时期：2008-2012、2013-2017、2018-2024。</w:t>
      </w:r>
    </w:p>
    <w:p>
      <w:pPr>
        <w:pStyle w:val="ListBullet"/>
        <w:ind w:firstLine="0"/>
      </w:pPr>
      <w:r>
        <w:t>项目类型：面上项目、青年科学基金项目、地区科学基金项目、重点项目。</w:t>
      </w:r>
    </w:p>
    <w:p>
      <w:pPr>
        <w:pStyle w:val="ListBullet"/>
        <w:ind w:firstLine="0"/>
      </w:pPr>
      <w:r>
        <w:t>学科代码：重点覆盖E08、D01及其他少数代码。</w:t>
      </w:r>
    </w:p>
    <w:p>
      <w:pPr>
        <w:pStyle w:val="ListBullet"/>
        <w:ind w:firstLine="0"/>
      </w:pPr>
      <w:r>
        <w:t>主题方向：覆盖保护修复、数字方法、旅游社区、价值理论、景观廊道、活化、风险韧性、工业遗产等方向。</w:t>
      </w:r>
    </w:p>
    <w:p>
      <w:pPr>
        <w:pStyle w:val="Heading1"/>
      </w:pPr>
      <w:r>
        <w:t>六、人工复核流程</w:t>
      </w:r>
    </w:p>
    <w:p>
      <w:pPr>
        <w:pStyle w:val="ListBullet"/>
        <w:ind w:firstLine="0"/>
      </w:pPr>
      <w:r>
        <w:t>两名人工编码者独立复核验证样本。</w:t>
      </w:r>
    </w:p>
    <w:p>
      <w:pPr>
        <w:pStyle w:val="ListBullet"/>
        <w:ind w:firstLine="0"/>
      </w:pPr>
      <w:r>
        <w:t>将LLM标签与人工标签逐维度比较，标记为一致、部分一致或不一致。</w:t>
      </w:r>
    </w:p>
    <w:p>
      <w:pPr>
        <w:pStyle w:val="ListBullet"/>
        <w:ind w:firstLine="0"/>
      </w:pPr>
      <w:r>
        <w:t>对高频不一致项修订代码定义和提示词。</w:t>
      </w:r>
    </w:p>
    <w:p>
      <w:pPr>
        <w:pStyle w:val="ListBullet"/>
        <w:ind w:firstLine="0"/>
      </w:pPr>
      <w:r>
        <w:t>用修订后的提示词重新编码全部项目。</w:t>
      </w:r>
    </w:p>
    <w:p>
      <w:pPr>
        <w:pStyle w:val="ListBullet"/>
        <w:ind w:firstLine="0"/>
      </w:pPr>
      <w:r>
        <w:t>报告最终一致性。单标签维度可报告Cohen's kappa，多标签维度可报告维度级一致率或Jaccard相似度。</w:t>
      </w:r>
    </w:p>
    <w:p>
      <w:pPr>
        <w:pStyle w:val="Heading1"/>
      </w:pPr>
      <w:r>
        <w:t>七、可写入论文的方法表述</w:t>
      </w:r>
    </w:p>
    <w:p>
      <w:pPr>
        <w:jc w:val="both"/>
      </w:pPr>
      <w:r>
        <w:t>在完成验证后，可在论文方法部分写入如下表述：本文以规则编码结果作为可审计的一阶编码，再使用LLM辅助编码协议，对每个项目的遗产对象、研究取向、方法组合、空间尺度、利益相关者和成果路径进行分类。随后抽取分层验证样本，由人工编码者独立复核。对于存在分歧的编码，经讨论后形成最终判定，并据此修订代码表和提示词。</w:t>
      </w:r>
    </w:p>
    <w:p>
      <w:pPr>
        <w:ind w:firstLine="0"/>
      </w:pPr>
      <w:r>
        <w:rPr>
          <w:color w:val="5A5A5A"/>
          <w:sz w:val="18"/>
        </w:rPr>
        <w:t>注意：在完成人工验证之前，正文应将当前结果表述为“可复核的规则编码基线”，不要声称已经完成最终LLM编码。</w:t>
      </w:r>
    </w:p>
    <w:sectPr w:rsidR="00FC693F" w:rsidRPr="0006063C" w:rsidSect="00034616">
      <w:pgSz w:w="11906" w:h="16838"/>
      <w:pgMar w:top="130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42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