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 xml:space="preserve">旋锻冷变形对 Gr4B23271 商业纯钛加工硬化行为与组织机制的影响</w:t>
      </w:r>
    </w:p>
    <w:p>
      <w:pPr>
        <w:pStyle w:val="Subtitle"/>
      </w:pPr>
      <w:r>
        <w:t xml:space="preserve">参考《7075 高强铝合金构件冷成形强化机制研究》的期刊论文结构</w:t>
      </w:r>
    </w:p>
    <w:p>
      <w:pPr>
        <w:pStyle w:val="Placeholder"/>
      </w:pPr>
      <w:r>
        <w:t xml:space="preserve">作者：__________    单位：__________    日期：__________</w:t>
      </w:r>
    </w:p>
    <w:p>
      <w:pPr>
        <w:pStyle w:val="Normal"/>
      </w:pPr>
    </w:p>
    <w:p>
      <w:pPr>
        <w:pStyle w:val="Heading1"/>
      </w:pPr>
      <w:r>
        <w:t xml:space="preserve">摘要</w:t>
      </w:r>
    </w:p>
    <w:p>
      <w:pPr>
        <w:pStyle w:val="Placeholder"/>
      </w:pPr>
      <w:r>
        <w:t xml:space="preserve">目的  【待写】针对 Gr4B23271 商业纯钛冷变形强化过程中强度提升、塑性变化及加工硬化机制尚需进一步阐明的问题，说明本文研究目的。</w:t>
      </w:r>
    </w:p>
    <w:p>
      <w:pPr>
        <w:pStyle w:val="Placeholder"/>
      </w:pPr>
      <w:r>
        <w:t xml:space="preserve">方法  【待写】说明采用不同旋锻变形量样品，结合拉伸试验、真实应力-应变分析、加工硬化率计算、金相组织观察和 EBSD 表征开展研究。</w:t>
      </w:r>
    </w:p>
    <w:p>
      <w:pPr>
        <w:pStyle w:val="Placeholder"/>
      </w:pPr>
      <w:r>
        <w:t xml:space="preserve">结果  【待写】概述屈服强度、抗拉强度、延伸率和加工硬化行为随冷变形量的变化，并说明主要金相/EBSD 观察结果。</w:t>
      </w:r>
    </w:p>
    <w:p>
      <w:pPr>
        <w:pStyle w:val="Placeholder"/>
      </w:pPr>
      <w:r>
        <w:t xml:space="preserve">结论  【待写】归纳 Gr4B23271 商业纯钛冷变形强化的主要机制，注意将位错积累、晶界/亚晶界作用、取向或织构演化等结论限定在数据支持范围内。</w:t>
      </w:r>
    </w:p>
    <w:p>
      <w:pPr>
        <w:pStyle w:val="Placeholder"/>
      </w:pPr>
      <w:r>
        <w:t xml:space="preserve">关键词：Gr4B23271；商业纯钛；旋锻；冷变形；加工硬化；EBSD</w:t>
      </w:r>
    </w:p>
    <w:p>
      <w:pPr>
        <w:pStyle w:val="Normal"/>
      </w:pPr>
    </w:p>
    <w:p>
      <w:pPr>
        <w:pStyle w:val="Heading1"/>
      </w:pPr>
      <w:r>
        <w:t xml:space="preserve">Work Hardening Behavior and Microstructural Mechanism of Rotary-swaged Gr4B23271 Commercially Pure Titanium</w:t>
      </w:r>
    </w:p>
    <w:p>
      <w:pPr>
        <w:pStyle w:val="Placeholder"/>
      </w:pPr>
      <w:r>
        <w:t xml:space="preserve">ABSTRACT: 【To be written after the Chinese abstract is finalized. Keep the same purpose-method-results-conclusion logic as the Chinese abstract.】</w:t>
      </w:r>
    </w:p>
    <w:p>
      <w:pPr>
        <w:pStyle w:val="Placeholder"/>
      </w:pPr>
      <w:r>
        <w:t xml:space="preserve">KEY WORDS: Gr4B23271; commercially pure titanium; rotary swaging; cold deformation; work hardening; EBSD</w:t>
      </w:r>
    </w:p>
    <w:p>
      <w:pPr>
        <w:pStyle w:val="Heading1"/>
      </w:pPr>
      <w:r>
        <w:t xml:space="preserve">引言</w:t>
      </w:r>
    </w:p>
    <w:p>
      <w:pPr>
        <w:pStyle w:val="Placeholder"/>
      </w:pPr>
      <w:r>
        <w:t xml:space="preserve">【待写】参考目标文章的写法，本部分不单独分成多个小节。建议按“材料应用背景和性能需求 -&gt; 冷变形/旋锻强化研究现状 -&gt; 现有研究不足 -&gt; 本文研究对象、方法和目的”的顺序展开。</w:t>
      </w:r>
    </w:p>
    <w:p>
      <w:pPr>
        <w:pStyle w:val="Normal"/>
      </w:pPr>
    </w:p>
    <w:p>
      <w:pPr>
        <w:pStyle w:val="Placeholder"/>
      </w:pPr>
      <w:r>
        <w:t xml:space="preserve">【待写】可写明：本文以 Gr4B23271 商业纯钛为研究对象，分析不同旋锻冷变形量下拉伸性能、加工硬化行为和显微组织演化之间的关系，以阐明冷变形诱导强度提升及塑性变化的组织机制。</w:t>
      </w:r>
    </w:p>
    <w:p>
      <w:pPr>
        <w:pStyle w:val="Normal"/>
      </w:pPr>
    </w:p>
    <w:p>
      <w:pPr>
        <w:pStyle w:val="Heading1"/>
      </w:pPr>
      <w:r>
        <w:t xml:space="preserve">1 试验</w:t>
      </w:r>
    </w:p>
    <w:p>
      <w:pPr>
        <w:pStyle w:val="Placeholder"/>
      </w:pPr>
      <w:r>
        <w:t xml:space="preserve">选取 12 根初始直径为 7 mm 的 TA4（Gr4B23271）商业纯钛棒材为研究对象。其中 2 根棒材保留原始状态，记为 M 态；其余棒材经室温旋锻冷变形加工至不同直径，记为 Y 态。依据实验室拉伸数据中的直径分组，旋锻后样品直径分别为 6.5、6.02、5.6、5.25 和 5.0 mm，各直径组包含 2 根平行样品。未旋锻的 7 mm 样品记为 M-7，旋锻样品分别记为 Y-6.5、Y-6.02、Y-5.6、Y-5.25 和 Y-5.0。</w:t>
      </w:r>
    </w:p>
    <w:p>
      <w:pPr>
        <w:pStyle w:val="Normal"/>
      </w:pPr>
    </w:p>
    <w:p>
      <w:pPr>
        <w:pStyle w:val="Placeholder"/>
      </w:pPr>
      <w:r>
        <w:t xml:space="preserve">冷变形量按棒材截面积缩减率计算，如式（1）所示：</w:t>
      </w:r>
    </w:p>
    <w:p>
      <w:pPr>
        <w:pStyle w:val="Normal"/>
      </w:pPr>
    </w:p>
    <w:p>
      <w:pPr>
        <w:pStyle w:val="Placeholder"/>
      </w:pPr>
      <w:r>
        <w:t xml:space="preserve">ε = (A0 - A1) / A0 × 100% = (D0^2 - D1^2) / D0^2 × 100%    （1）</w:t>
      </w:r>
    </w:p>
    <w:p>
      <w:pPr>
        <w:pStyle w:val="Normal"/>
      </w:pPr>
    </w:p>
    <w:p>
      <w:pPr>
        <w:pStyle w:val="Placeholder"/>
      </w:pPr>
      <w:r>
        <w:t xml:space="preserve">式中，A0 和 A1 分别为旋锻前、后的横截面积，D0 和 D1 分别为旋锻前、后的棒材直径。以 D0 = 7 mm 作为参考直径计算，各样品组的冷变形量分别为 0、13.78%、26.04%、36.00%、43.75% 和 48.98%。</w:t>
      </w:r>
    </w:p>
    <w:p>
      <w:pPr>
        <w:pStyle w:val="Normal"/>
      </w:pPr>
    </w:p>
    <w:p>
      <w:pPr>
        <w:pStyle w:val="Placeholder"/>
      </w:pPr>
      <w:r>
        <w:t xml:space="preserve">对不同状态的棒材进行室温单轴拉伸试验，获得工程应力-应变曲线，并统计 0.2% 偏移屈服强度、抗拉强度、断后伸长率和断面收缩率。每个直径组设置 2 个平行试样，结果以平均值表示；对于弹性段不清晰、0.2% 偏移屈服点无法可靠确定或曲线异常的结果，在后续数据分析中保留可靠性标记，并结合原始曲线进行判别。</w:t>
      </w:r>
    </w:p>
    <w:p>
      <w:pPr>
        <w:pStyle w:val="Normal"/>
      </w:pPr>
    </w:p>
    <w:p>
      <w:pPr>
        <w:pStyle w:val="Placeholder"/>
      </w:pPr>
      <w:r>
        <w:t xml:space="preserve">为分析旋锻冷变形对 Gr4B23271 商业纯钛组织演化的影响，分别选取 M 态及不同 Y 态样品进行金相观察和 EBSD 表征。金相样品经切取、镶嵌、磨抛和腐蚀后，用于观察不同变形量下晶粒形貌、变形流线和组织均匀性。EBSD 表征用于获得不同状态样品的取向分布、晶界特征、局部取向差及织构演化信息，并与拉伸性能和加工硬化行为相结合，分析旋锻冷变形诱导的强化机制。</w:t>
      </w:r>
    </w:p>
    <w:p>
      <w:pPr>
        <w:pStyle w:val="Normal"/>
      </w:pPr>
    </w:p>
    <w:p>
      <w:pPr>
        <w:pStyle w:val="Heading1"/>
      </w:pPr>
      <w:r>
        <w:t xml:space="preserve">2 结果与分析</w:t>
      </w:r>
    </w:p>
    <w:p>
      <w:pPr>
        <w:pStyle w:val="Heading2"/>
      </w:pPr>
      <w:r>
        <w:t xml:space="preserve">2.1 不同冷变形量下 Gr4B23271 的力学性能</w:t>
      </w:r>
    </w:p>
    <w:p>
      <w:pPr>
        <w:pStyle w:val="Placeholder"/>
      </w:pPr>
      <w:r>
        <w:t xml:space="preserve">【待写】对应参考文章的“板料力学性能”小节。展示不同直径/冷变形量样品的屈服强度、抗拉强度和延伸率。可先给出应力-应变曲线，再给出性能统计图或表。</w:t>
      </w:r>
    </w:p>
    <w:p>
      <w:pPr>
        <w:pStyle w:val="Normal"/>
      </w:pPr>
    </w:p>
    <w:p>
      <w:pPr>
        <w:pStyle w:val="Placeholder"/>
      </w:pPr>
      <w:r>
        <w:t xml:space="preserve">【待写】对于偏离整体变化趋势的结果，使用“非单调变化”“局部差异”“离散性增加”等学术表述，并结合原始曲线可靠性、试样状态和组织证据分析。</w:t>
      </w:r>
    </w:p>
    <w:p>
      <w:pPr>
        <w:pStyle w:val="Normal"/>
      </w:pPr>
    </w:p>
    <w:p>
      <w:pPr>
        <w:pStyle w:val="Heading2"/>
      </w:pPr>
      <w:r>
        <w:t xml:space="preserve">2.2 真实应力-应变曲线与加工硬化行为</w:t>
      </w:r>
    </w:p>
    <w:p>
      <w:pPr>
        <w:pStyle w:val="Placeholder"/>
      </w:pPr>
      <w:r>
        <w:t xml:space="preserve">【待写】对应参考文章的“成形构件力学性能”小节，但根据本课题改为加工硬化行为。展示真实应力-真实应变曲线、加工硬化率 theta = d sigma / d epsilon，以及必要时的归一化加工硬化率或 Hollomon 指数。</w:t>
      </w:r>
    </w:p>
    <w:p>
      <w:pPr>
        <w:pStyle w:val="Normal"/>
      </w:pPr>
    </w:p>
    <w:p>
      <w:pPr>
        <w:pStyle w:val="Placeholder"/>
      </w:pPr>
      <w:r>
        <w:t xml:space="preserve">【待写】重点分析冷变形量提高后材料初始强度、均匀变形能力和后续加工硬化空间之间的关系。</w:t>
      </w:r>
    </w:p>
    <w:p>
      <w:pPr>
        <w:pStyle w:val="Normal"/>
      </w:pPr>
    </w:p>
    <w:p>
      <w:pPr>
        <w:pStyle w:val="Heading2"/>
      </w:pPr>
      <w:r>
        <w:t xml:space="preserve">2.3 Gr4B23271 商业纯钛冷变形强化机制</w:t>
      </w:r>
    </w:p>
    <w:p>
      <w:pPr>
        <w:pStyle w:val="Placeholder"/>
      </w:pPr>
      <w:r>
        <w:t xml:space="preserve">【待写】对应参考文章的“冷成形强化机制”小节，是全文机制讨论的核心。结合金相和 EBSD 结果，讨论位错积累、晶界/亚晶界阻碍、取向梯度或织构演化对强度提升和塑性变化的影响。</w:t>
      </w:r>
    </w:p>
    <w:p>
      <w:pPr>
        <w:pStyle w:val="Normal"/>
      </w:pPr>
    </w:p>
    <w:p>
      <w:pPr>
        <w:pStyle w:val="Placeholder"/>
      </w:pPr>
      <w:r>
        <w:t xml:space="preserve">【待写】若 EBSD 支持，可讨论 LAGB/HAGB、KAM、取向差分布和织构变化。若无直接证据，不应定量声称 GND 密度或孪生机制。</w:t>
      </w:r>
    </w:p>
    <w:p>
      <w:pPr>
        <w:pStyle w:val="Normal"/>
      </w:pPr>
    </w:p>
    <w:p>
      <w:pPr>
        <w:pStyle w:val="Heading1"/>
      </w:pPr>
      <w:r>
        <w:t xml:space="preserve">3 结论</w:t>
      </w:r>
    </w:p>
    <w:p>
      <w:pPr>
        <w:pStyle w:val="Placeholder"/>
      </w:pPr>
      <w:r>
        <w:t xml:space="preserve">1）【待写】概括旋锻冷变形量对 Gr4B23271 商业纯钛屈服强度、抗拉强度和延伸率的影响。</w:t>
      </w:r>
    </w:p>
    <w:p>
      <w:pPr>
        <w:pStyle w:val="Normal"/>
      </w:pPr>
    </w:p>
    <w:p>
      <w:pPr>
        <w:pStyle w:val="Placeholder"/>
      </w:pPr>
      <w:r>
        <w:t xml:space="preserve">2）【待写】概括不同冷变形量下真实应力-应变曲线和加工硬化率的主要变化特征。</w:t>
      </w:r>
    </w:p>
    <w:p>
      <w:pPr>
        <w:pStyle w:val="Normal"/>
      </w:pPr>
    </w:p>
    <w:p>
      <w:pPr>
        <w:pStyle w:val="Placeholder"/>
      </w:pPr>
      <w:r>
        <w:t xml:space="preserve">3）【待写】概括金相和 EBSD 所支持的冷变形强化机制，注意将解释限定在位错积累、晶界/亚晶界、取向/织构演化等已有证据范围内。</w:t>
      </w:r>
    </w:p>
    <w:p>
      <w:pPr>
        <w:pStyle w:val="Normal"/>
      </w:pPr>
    </w:p>
    <w:p>
      <w:pPr>
        <w:pStyle w:val="Placeholder"/>
      </w:pPr>
      <w:r>
        <w:t xml:space="preserve">4）【待写】如存在偏离整体趋势的结果，简要说明可能原因及仍需进一步验证的组织指标。</w:t>
      </w:r>
    </w:p>
    <w:p>
      <w:pPr>
        <w:pStyle w:val="Normal"/>
      </w:pPr>
    </w:p>
    <w:p>
      <w:pPr>
        <w:pStyle w:val="Heading1"/>
      </w:pPr>
      <w:r>
        <w:t xml:space="preserve">参考文献：</w:t>
      </w:r>
    </w:p>
    <w:p>
      <w:pPr>
        <w:pStyle w:val="Placeholder"/>
      </w:pPr>
      <w:r>
        <w:t xml:space="preserve">【待补】按目标期刊格式整理。正文中每一处机制解释应对应实验数据或文献依据。</w:t>
      </w:r>
    </w:p>
    <w:p>
      <w:pPr>
        <w:pStyle w:val="Normal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</w:pPr>
    <w:rPr>
      <w:rFonts w:ascii="Times New Roman" w:hAnsi="Times New Roman" w:eastAsia="黑体"/>
      <w:b/>
      <w:sz w:val="32"/>
    </w:rPr>
  </w:style>
  <w:style w:type="paragraph" w:styleId="Subtitle">
    <w:name w:val="Subtitle"/>
    <w:basedOn w:val="Normal"/>
    <w:next w:val="Normal"/>
    <w:qFormat/>
    <w:pPr>
      <w:spacing w:after="240" w:line="320" w:lineRule="auto"/>
      <w:jc w:val="center"/>
    </w:pPr>
    <w:rPr>
      <w:rFonts w:ascii="Times New Roman" w:hAnsi="Times New Roman" w:eastAsia="宋体"/>
      <w:i/>
      <w:sz w:val="22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60" w:after="160" w:line="360" w:lineRule="auto"/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20" w:lineRule="auto"/>
      <w:outlineLvl w:val="1"/>
    </w:pPr>
    <w:rPr>
      <w:rFonts w:ascii="Times New Roman" w:hAnsi="Times New Roman" w:eastAsia="黑体"/>
      <w:b/>
      <w:sz w:val="24"/>
    </w:rPr>
  </w:style>
  <w:style w:type="paragraph" w:styleId="Placeholder">
    <w:name w:val="Placeholder"/>
    <w:basedOn w:val="Normal"/>
    <w:pPr>
      <w:spacing w:after="160" w:line="360" w:lineRule="auto"/>
    </w:pPr>
    <w:rPr>
      <w:rFonts w:ascii="Times New Roman" w:hAnsi="Times New Roman" w:eastAsia="宋体"/>
      <w:color w:val="666666"/>
      <w:sz w:val="23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Gr4B23271 Work Hardening Manuscript Body</dc:title>
  <dc:creator>Codex</dc:creator>
  <cp:lastModifiedBy>Codex</cp:lastModifiedBy>
  <dcterms:created xsi:type="dcterms:W3CDTF">2026-05-21T00:00:00Z</dcterms:created>
  <dcterms:modified xsi:type="dcterms:W3CDTF">2026-05-21T00:00:00Z</dcterms:modified>
</cp:coreProperties>
</file>