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AFF25">
      <w:pPr>
        <w:rPr>
          <w:rFonts w:hint="eastAsia" w:ascii="FZSJ-KAITGBTTOT" w:hAnsi="FZSJ-KAITGBTTOT" w:eastAsia="FZSJ-KAITGBTTOT" w:cs="FZSJ-KAITGBTTOT"/>
        </w:rPr>
      </w:pPr>
      <w:r>
        <w:rPr>
          <w:rFonts w:hint="eastAsia" w:ascii="FZSJ-KAITGBTTOT" w:hAnsi="FZSJ-KAITGBTTOT" w:eastAsia="FZSJ-KAITGBTTOT" w:cs="FZSJ-KAITGBTTOT"/>
        </w:rPr>
        <w:drawing>
          <wp:inline distT="0" distB="0" distL="0" distR="0">
            <wp:extent cx="6041390" cy="3397885"/>
            <wp:effectExtent l="0" t="0" r="16510" b="1206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013" cy="3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1C8E">
      <w:pPr>
        <w:spacing w:before="240" w:after="320"/>
        <w:rPr>
          <w:rFonts w:hint="default" w:ascii="Arial" w:hAnsi="Arial" w:cs="Arial" w:eastAsiaTheme="minorEastAsia"/>
          <w:caps/>
          <w:color w:val="000000"/>
          <w:spacing w:val="10"/>
          <w:kern w:val="0"/>
          <w:sz w:val="20"/>
          <w:szCs w:val="22"/>
          <w14:ligatures w14:val="none"/>
        </w:rPr>
      </w:pPr>
      <w:r>
        <w:rPr>
          <w:rFonts w:hint="default" w:ascii="Arial" w:hAnsi="Arial" w:cs="Arial" w:eastAsiaTheme="minorEastAsia"/>
          <w:caps/>
          <w:color w:val="000000"/>
          <w:spacing w:val="10"/>
          <w:kern w:val="0"/>
          <w:sz w:val="20"/>
          <w:szCs w:val="22"/>
          <w14:ligatures w14:val="none"/>
        </w:rPr>
        <w:t>内部</w:t>
      </w:r>
    </w:p>
    <w:p w14:paraId="49B77AEA">
      <w:pPr>
        <w:keepNext/>
        <w:keepLines/>
        <w:spacing w:before="360" w:after="80" w:line="259" w:lineRule="auto"/>
        <w:outlineLvl w:val="0"/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:lang w:val="en-US" w:eastAsia="zh-CN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  <w:t>将 AI 融入</w:t>
      </w: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:lang w:val="en-US" w:eastAsia="zh-CN"/>
          <w14:ligatures w14:val="standardContextual"/>
        </w:rPr>
        <w:t>销售订单创建</w:t>
      </w: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  <w:t>：结合 SAP Document AI、</w:t>
      </w: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:lang w:val="en-US" w:eastAsia="zh-CN"/>
          <w14:ligatures w14:val="standardContextual"/>
        </w:rPr>
        <w:t>BPA</w:t>
      </w: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  <w:t xml:space="preserve"> 和 </w:t>
      </w: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:lang w:val="en-US" w:eastAsia="zh-CN"/>
          <w14:ligatures w14:val="standardContextual"/>
        </w:rPr>
        <w:t>SAP AI Core</w:t>
      </w:r>
    </w:p>
    <w:p w14:paraId="18365056">
      <w:pPr>
        <w:spacing w:after="160"/>
        <w:rPr>
          <w:rFonts w:hint="default" w:ascii="Arial" w:hAnsi="Arial" w:cs="Arial" w:eastAsiaTheme="minorEastAsia"/>
          <w:b/>
          <w:color w:val="0070F2"/>
          <w:spacing w:val="15"/>
          <w:kern w:val="2"/>
          <w:sz w:val="36"/>
          <w:szCs w:val="28"/>
          <w14:ligatures w14:val="standardContextual"/>
        </w:rPr>
      </w:pPr>
    </w:p>
    <w:p w14:paraId="3C53E049">
      <w:pPr>
        <w:spacing w:after="160"/>
        <w:rPr>
          <w:rFonts w:hint="default" w:ascii="Arial" w:hAnsi="Arial" w:cs="Arial" w:eastAsiaTheme="minorEastAsia"/>
          <w:b/>
          <w:color w:val="0070F2"/>
          <w:spacing w:val="15"/>
          <w:kern w:val="2"/>
          <w:sz w:val="36"/>
          <w:szCs w:val="28"/>
          <w:lang w:val="en-US" w:eastAsia="zh-CN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70F2"/>
          <w:spacing w:val="15"/>
          <w:kern w:val="2"/>
          <w:sz w:val="36"/>
          <w:szCs w:val="28"/>
          <w14:ligatures w14:val="standardContextual"/>
        </w:rPr>
        <w:t xml:space="preserve">演示脚本 – </w:t>
      </w:r>
      <w:r>
        <w:rPr>
          <w:rFonts w:hint="default" w:ascii="Arial" w:hAnsi="Arial" w:cs="Arial" w:eastAsiaTheme="minorEastAsia"/>
          <w:b/>
          <w:color w:val="0070F2"/>
          <w:spacing w:val="15"/>
          <w:kern w:val="2"/>
          <w:sz w:val="36"/>
          <w:szCs w:val="28"/>
          <w:lang w:val="en-US" w:eastAsia="zh-CN"/>
          <w14:ligatures w14:val="standardContextual"/>
        </w:rPr>
        <w:t>初版</w:t>
      </w:r>
    </w:p>
    <w:p w14:paraId="54FAB236">
      <w:pPr>
        <w:rPr>
          <w:rFonts w:hint="default" w:ascii="Arial" w:hAnsi="Arial" w:cs="Arial" w:eastAsiaTheme="minorEastAsia"/>
        </w:rPr>
      </w:pPr>
    </w:p>
    <w:p w14:paraId="515CB475">
      <w:pPr>
        <w:spacing w:after="160" w:line="259" w:lineRule="auto"/>
        <w:rPr>
          <w:rFonts w:hint="default" w:ascii="Arial" w:hAnsi="Arial" w:cs="Arial" w:eastAsiaTheme="minorEastAsia"/>
          <w:sz w:val="32"/>
          <w:szCs w:val="32"/>
        </w:rPr>
      </w:pPr>
      <w:r>
        <w:rPr>
          <w:rFonts w:hint="default" w:ascii="Arial" w:hAnsi="Arial" w:cs="Arial" w:eastAsiaTheme="minorEastAsia"/>
        </w:rPr>
        <w:br w:type="page"/>
      </w:r>
    </w:p>
    <w:p w14:paraId="428483F8">
      <w:pPr>
        <w:keepNext/>
        <w:keepLines/>
        <w:spacing w:before="360" w:after="80" w:line="259" w:lineRule="auto"/>
        <w:outlineLvl w:val="0"/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  <w:t>演示大纲</w:t>
      </w:r>
    </w:p>
    <w:p w14:paraId="1650F6A6">
      <w:pPr>
        <w:numPr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b/>
          <w:kern w:val="0"/>
          <w:sz w:val="22"/>
          <w:szCs w:val="22"/>
          <w14:ligatures w14:val="none"/>
        </w:rPr>
        <w:t>操作说明</w:t>
      </w:r>
      <w:r>
        <w:rPr>
          <w:rFonts w:hint="eastAsia" w:ascii="Arial" w:hAnsi="Arial" w:cs="Arial" w:eastAsiaTheme="minorEastAsia"/>
          <w:b/>
          <w:kern w:val="0"/>
          <w:sz w:val="22"/>
          <w:szCs w:val="22"/>
          <w:lang w:eastAsia="zh-CN"/>
          <w14:ligatures w14:val="none"/>
        </w:rPr>
        <w:t>：</w:t>
      </w: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br w:type="textWrapping"/>
      </w:r>
      <w:r>
        <w:rPr>
          <w:rFonts w:hint="eastAsia" w:ascii="Arial" w:hAnsi="Arial" w:cs="Arial" w:eastAsiaTheme="minorEastAsia"/>
          <w:kern w:val="0"/>
          <w:sz w:val="22"/>
          <w:szCs w:val="22"/>
          <w:lang w:val="en-US" w:eastAsia="zh-CN"/>
          <w14:ligatures w14:val="none"/>
        </w:rPr>
        <w:tab/>
      </w: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在定义详细的演示流程和讲解内容前，建议先以壁画或项目符号列表的形式梳理高层次的演示流程，以便根据技术边界和演示价值主张进行优化和调整。</w:t>
      </w:r>
    </w:p>
    <w:p w14:paraId="7B769E57">
      <w:pP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6BFFD01B">
      <w:pPr>
        <w:rPr>
          <w:rFonts w:hint="default" w:ascii="Arial" w:hAnsi="Arial" w:cs="Arial" w:eastAsiaTheme="minorEastAsia"/>
          <w:b/>
          <w:bCs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b/>
          <w:kern w:val="0"/>
          <w:sz w:val="22"/>
          <w:szCs w:val="22"/>
          <w14:ligatures w14:val="none"/>
        </w:rPr>
        <w:t>关键信息：</w:t>
      </w:r>
    </w:p>
    <w:p w14:paraId="4D44F7B1">
      <w:pP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16E0091A">
      <w:pPr>
        <w:numPr>
          <w:ilvl w:val="0"/>
          <w:numId w:val="1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SAP Document AI - 提供更快速的业务文档处理，提升运营效率</w:t>
      </w:r>
    </w:p>
    <w:p w14:paraId="3920C264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加速文档处理：自动识别和提取PDF订单文档中的关键信息</w:t>
      </w:r>
    </w:p>
    <w:p w14:paraId="6AE7FEA8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提升运营效率：体验全新升级的SAP Document AI用户界面，合住让文档处理更简单高效</w:t>
      </w:r>
    </w:p>
    <w:p w14:paraId="71821BA6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现在也可在Joule内访问：业务用户友好型体验</w:t>
      </w:r>
    </w:p>
    <w:p w14:paraId="55284502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加速文档处理</w:t>
      </w:r>
    </w:p>
    <w:p w14:paraId="777C377C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016B7040">
      <w:pPr>
        <w:numPr>
          <w:ilvl w:val="0"/>
          <w:numId w:val="2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SAP Build Process Automation (BPA) - 实现无缝验证、匹配和数据采集</w:t>
      </w:r>
    </w:p>
    <w:p w14:paraId="1512FF80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自动化机器人模拟人工操作，登录客户网站下载订单</w:t>
      </w:r>
    </w:p>
    <w:p w14:paraId="55827718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最大限度减少中断和人工干预</w:t>
      </w:r>
    </w:p>
    <w:p w14:paraId="522F4A9E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无缝集成</w:t>
      </w:r>
    </w:p>
    <w:p w14:paraId="6589D183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10B5A020">
      <w:pPr>
        <w:numPr>
          <w:ilvl w:val="0"/>
          <w:numId w:val="3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SAP AI Core - 利用自动化文档处理提升数据准确性、安全性和完整性</w:t>
      </w:r>
    </w:p>
    <w:p w14:paraId="176DF8EA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智能数据验证、规则检查和异常识别</w:t>
      </w:r>
    </w:p>
    <w:p w14:paraId="1A093305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确保决策明智</w:t>
      </w:r>
    </w:p>
    <w:p w14:paraId="53DC84E3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数据质量提升</w:t>
      </w:r>
    </w:p>
    <w:p w14:paraId="5F0A76E4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05C7081B">
      <w:pPr>
        <w:numPr>
          <w:ilvl w:val="0"/>
          <w:numId w:val="4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端到端自动化 - 简化工作流程，减少人工操作，降低运营成本</w:t>
      </w:r>
    </w:p>
    <w:p w14:paraId="47A04432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为战略任务释放宝贵时间</w:t>
      </w:r>
    </w:p>
    <w:p w14:paraId="24F88C39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成本与时间降低</w:t>
      </w:r>
    </w:p>
    <w:p w14:paraId="57A79C9E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5A3CB79A">
      <w:pPr>
        <w:numPr>
          <w:ilvl w:val="0"/>
          <w:numId w:val="5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智能洞察 - 降低因订单未及时处理导致的生产中断可能性</w:t>
      </w:r>
    </w:p>
    <w:p w14:paraId="2C581A17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AI实时分析和预警</w:t>
      </w:r>
    </w:p>
    <w:p w14:paraId="25208A9D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生产中断可能性降低</w:t>
      </w:r>
    </w:p>
    <w:p w14:paraId="0F65967B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b/>
          <w:kern w:val="0"/>
          <w:sz w:val="22"/>
          <w:szCs w:val="22"/>
          <w14:ligatures w14:val="none"/>
        </w:rPr>
      </w:pPr>
    </w:p>
    <w:p w14:paraId="2FFABB23">
      <w:pPr>
        <w:numPr>
          <w:ilvl w:val="0"/>
          <w:numId w:val="0"/>
        </w:numPr>
        <w:contextualSpacing/>
        <w:rPr>
          <w:rFonts w:hint="eastAsia" w:ascii="Arial" w:hAnsi="Arial" w:cs="Arial" w:eastAsiaTheme="minorEastAsia"/>
          <w:b/>
          <w:bCs/>
          <w:kern w:val="0"/>
          <w:sz w:val="22"/>
          <w:szCs w:val="22"/>
          <w:lang w:eastAsia="zh-CN"/>
          <w14:ligatures w14:val="none"/>
        </w:rPr>
      </w:pPr>
      <w:r>
        <w:rPr>
          <w:rFonts w:hint="default" w:ascii="Arial" w:hAnsi="Arial" w:cs="Arial" w:eastAsiaTheme="minorEastAsia"/>
          <w:b/>
          <w:kern w:val="0"/>
          <w:sz w:val="22"/>
          <w:szCs w:val="22"/>
          <w14:ligatures w14:val="none"/>
        </w:rPr>
        <w:t>客户价值</w:t>
      </w:r>
      <w:r>
        <w:rPr>
          <w:rFonts w:hint="eastAsia" w:ascii="Arial" w:hAnsi="Arial" w:cs="Arial" w:eastAsiaTheme="minorEastAsia"/>
          <w:b/>
          <w:kern w:val="0"/>
          <w:sz w:val="22"/>
          <w:szCs w:val="22"/>
          <w:lang w:eastAsia="zh-CN"/>
          <w14:ligatures w14:val="none"/>
        </w:rPr>
        <w:t>：</w:t>
      </w:r>
    </w:p>
    <w:p w14:paraId="221538FE">
      <w:pPr>
        <w:rPr>
          <w:rFonts w:hint="default" w:ascii="Arial" w:hAnsi="Arial" w:cs="Arial" w:eastAsiaTheme="minorEastAsia"/>
          <w:b/>
          <w:bCs/>
          <w:kern w:val="0"/>
          <w:sz w:val="22"/>
          <w:szCs w:val="22"/>
          <w14:ligatures w14:val="none"/>
        </w:rPr>
      </w:pPr>
    </w:p>
    <w:p w14:paraId="504B315E">
      <w:pPr>
        <w:numPr>
          <w:ilvl w:val="0"/>
          <w:numId w:val="6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运营效率与成本降低</w:t>
      </w:r>
    </w:p>
    <w:p w14:paraId="04667522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自动化文档处理减少人工处理时间及相关成本：实现切实节省和效率提升生产中断减少：通过高</w:t>
      </w:r>
      <w:r>
        <w:rPr>
          <w:rFonts w:hint="eastAsia" w:ascii="Arial" w:hAnsi="Arial" w:cs="Arial" w:eastAsiaTheme="minorEastAsia"/>
          <w:kern w:val="0"/>
          <w:sz w:val="22"/>
          <w:szCs w:val="22"/>
          <w:lang w:val="en-US" w:eastAsia="zh-CN"/>
          <w14:ligatures w14:val="none"/>
        </w:rPr>
        <w:tab/>
      </w: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效跟踪并及时标记订单为已接收，避免代价高昂的生产延误，最大限度减少中断，保障生产流程顺畅</w:t>
      </w:r>
    </w:p>
    <w:p w14:paraId="24EA8B3B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05945315">
      <w:pPr>
        <w:numPr>
          <w:ilvl w:val="0"/>
          <w:numId w:val="7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数据准确性与可靠性提升</w:t>
      </w:r>
    </w:p>
    <w:p w14:paraId="0030EFC0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无缝集成与自动验证提升数据质量：确保企业管理所需信息的准确性和一致性</w:t>
      </w:r>
    </w:p>
    <w:p w14:paraId="19CC2124">
      <w:pPr>
        <w:numPr>
          <w:ilvl w:val="0"/>
          <w:numId w:val="0"/>
        </w:numPr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41C5684B">
      <w:pPr>
        <w:numPr>
          <w:ilvl w:val="0"/>
          <w:numId w:val="8"/>
        </w:numPr>
        <w:ind w:left="420" w:leftChars="0" w:hanging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供应商/客户满意度提升</w:t>
      </w:r>
    </w:p>
    <w:p w14:paraId="26B34C3A">
      <w:pPr>
        <w:numPr>
          <w:ilvl w:val="0"/>
          <w:numId w:val="0"/>
        </w:numPr>
        <w:ind w:firstLine="420" w:firstLineChars="0"/>
        <w:contextualSpacing/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  <w: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  <w:t>简化且可靠的交货处理流程：通过优化交易流程提升业务关系和体满意度</w:t>
      </w:r>
    </w:p>
    <w:p w14:paraId="41DB9D48">
      <w:pPr>
        <w:jc w:val="center"/>
        <w:rPr>
          <w:rFonts w:hint="default" w:ascii="Arial" w:hAnsi="Arial" w:cs="Arial" w:eastAsiaTheme="minorEastAsia"/>
          <w:b/>
          <w:bCs/>
          <w:kern w:val="0"/>
          <w:sz w:val="22"/>
          <w:szCs w:val="22"/>
          <w14:ligatures w14:val="none"/>
        </w:rPr>
      </w:pPr>
    </w:p>
    <w:p w14:paraId="6A527A73">
      <w:pPr>
        <w:jc w:val="center"/>
        <w:rPr>
          <w:rFonts w:hint="default" w:ascii="Arial" w:hAnsi="Arial" w:cs="Arial" w:eastAsiaTheme="minorEastAsia"/>
          <w:b/>
          <w:bCs/>
          <w:kern w:val="0"/>
          <w:sz w:val="22"/>
          <w:szCs w:val="22"/>
          <w14:ligatures w14:val="none"/>
        </w:rPr>
      </w:pPr>
    </w:p>
    <w:p w14:paraId="73B3FFE1">
      <w:pPr>
        <w:rPr>
          <w:rFonts w:hint="default" w:ascii="Arial" w:hAnsi="Arial" w:cs="Arial" w:eastAsiaTheme="minorEastAsia"/>
          <w:b/>
          <w:color w:val="0070F2"/>
          <w:sz w:val="44"/>
          <w:szCs w:val="40"/>
        </w:rPr>
      </w:pPr>
      <w:r>
        <w:rPr>
          <w:rFonts w:hint="default" w:ascii="Arial" w:hAnsi="Arial" w:cs="Arial" w:eastAsiaTheme="minorEastAsia"/>
        </w:rPr>
        <w:br w:type="page"/>
      </w:r>
    </w:p>
    <w:p w14:paraId="4CA9E441">
      <w:pPr>
        <w:keepNext/>
        <w:keepLines/>
        <w:spacing w:before="360" w:after="80"/>
        <w:outlineLvl w:val="0"/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70F2"/>
          <w:kern w:val="2"/>
          <w:sz w:val="44"/>
          <w:szCs w:val="40"/>
          <w14:ligatures w14:val="standardContextual"/>
        </w:rPr>
        <w:t>讲解内容</w:t>
      </w:r>
    </w:p>
    <w:tbl>
      <w:tblPr>
        <w:tblStyle w:val="7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6"/>
        <w:gridCol w:w="2580"/>
      </w:tblGrid>
      <w:tr w14:paraId="06DA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6" w:hRule="atLeast"/>
        </w:trPr>
        <w:tc>
          <w:tcPr>
            <w:tcW w:w="9516" w:type="dxa"/>
            <w:gridSpan w:val="2"/>
            <w:shd w:val="clear" w:color="auto" w:fill="0070F2"/>
          </w:tcPr>
          <w:p w14:paraId="20208944">
            <w:pPr>
              <w:spacing w:line="279" w:lineRule="auto"/>
              <w:rPr>
                <w:rFonts w:hint="default" w:ascii="Arial" w:hAnsi="Arial" w:cs="Arial" w:eastAsiaTheme="minorEastAsia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FFFFFF"/>
                <w:kern w:val="0"/>
                <w:sz w:val="22"/>
                <w:szCs w:val="22"/>
                <w14:ligatures w14:val="none"/>
              </w:rPr>
              <w:t>背景</w:t>
            </w:r>
          </w:p>
        </w:tc>
      </w:tr>
      <w:tr w14:paraId="148F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516" w:type="dxa"/>
            <w:gridSpan w:val="2"/>
            <w:shd w:val="clear" w:color="auto" w:fill="C9E2FF"/>
          </w:tcPr>
          <w:p w14:paraId="120C7B93">
            <w:pPr>
              <w:contextualSpacing/>
              <w:rPr>
                <w:rFonts w:hint="default" w:ascii="Arial" w:hAnsi="Arial" w:cs="Arial" w:eastAsiaTheme="minor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000000"/>
                <w:kern w:val="0"/>
                <w:sz w:val="20"/>
                <w:szCs w:val="20"/>
                <w14:ligatures w14:val="none"/>
              </w:rPr>
              <w:t>角色与职责：</w:t>
            </w:r>
          </w:p>
          <w:p w14:paraId="618CA257">
            <w:pPr>
              <w:numPr>
                <w:ilvl w:val="0"/>
                <w:numId w:val="9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:lang w:val="en-US" w:eastAsia="zh-CN"/>
                <w14:ligatures w14:val="none"/>
              </w:rPr>
              <w:t>作为一名订单管理员，我使用 S/4 HANA 系统管理销售订单处理流程，确保订单数据准确性和订单创建效率能够达到最高标准。</w:t>
            </w:r>
          </w:p>
          <w:p w14:paraId="23A8F728">
            <w:pPr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</w:p>
          <w:p w14:paraId="347FD39A">
            <w:pPr>
              <w:contextualSpacing/>
              <w:rPr>
                <w:rFonts w:hint="default" w:ascii="Arial" w:hAnsi="Arial" w:cs="Arial" w:eastAsiaTheme="minor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000000"/>
                <w:kern w:val="0"/>
                <w:sz w:val="20"/>
                <w:szCs w:val="20"/>
                <w14:ligatures w14:val="none"/>
              </w:rPr>
              <w:t>当前任务：</w:t>
            </w:r>
          </w:p>
          <w:p w14:paraId="7D3C2C40">
            <w:pPr>
              <w:numPr>
                <w:ilvl w:val="0"/>
                <w:numId w:val="10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今天，我的任务是处理来自客户</w:t>
            </w:r>
            <w:r>
              <w:rPr>
                <w:rFonts w:hint="eastAsia" w:ascii="Arial" w:hAnsi="Arial" w:cs="Arial" w:eastAsiaTheme="minorEastAsia"/>
                <w:color w:val="000000"/>
                <w:kern w:val="0"/>
                <w:szCs w:val="20"/>
                <w:lang w:val="en-US" w:eastAsia="zh-CN"/>
                <w14:ligatures w14:val="none"/>
              </w:rPr>
              <w:t>A、B</w:t>
            </w: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的一批新订单，这些订单需要快速录入系统并完成验证。</w:t>
            </w:r>
          </w:p>
          <w:p w14:paraId="15B23317">
            <w:pPr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</w:p>
          <w:p w14:paraId="284E9F8B">
            <w:pPr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000000"/>
                <w:kern w:val="0"/>
                <w:sz w:val="20"/>
                <w:szCs w:val="20"/>
                <w14:ligatures w14:val="none"/>
              </w:rPr>
              <w:t>自动</w:t>
            </w:r>
            <w:r>
              <w:rPr>
                <w:rFonts w:hint="eastAsia" w:ascii="Arial" w:hAnsi="Arial" w:cs="Arial" w:eastAsiaTheme="minorEastAsia"/>
                <w:b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化订单处理</w:t>
            </w:r>
            <w:r>
              <w:rPr>
                <w:rFonts w:hint="default" w:ascii="Arial" w:hAnsi="Arial" w:cs="Arial" w:eastAsiaTheme="minorEastAsia"/>
                <w:color w:val="000000"/>
                <w:kern w:val="0"/>
                <w:sz w:val="20"/>
                <w:szCs w:val="20"/>
                <w14:ligatures w14:val="none"/>
              </w:rPr>
              <w:t>：</w:t>
            </w:r>
          </w:p>
          <w:p w14:paraId="04DB61E3">
            <w:pPr>
              <w:numPr>
                <w:ilvl w:val="0"/>
                <w:numId w:val="11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我需要系统能够通过以下方式自动处理来自客户的销售订单信息，自动接收和提取订单数据：</w:t>
            </w:r>
          </w:p>
          <w:p w14:paraId="2956426D">
            <w:pPr>
              <w:numPr>
                <w:ilvl w:val="0"/>
                <w:numId w:val="12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结构化数据（网页/Excel）：使</w:t>
            </w:r>
            <w:r>
              <w:rPr>
                <w:rFonts w:hint="eastAsia" w:ascii="Arial" w:hAnsi="Arial" w:cs="Arial" w:eastAsiaTheme="minorEastAsia"/>
                <w:color w:val="000000"/>
                <w:kern w:val="0"/>
                <w:szCs w:val="20"/>
                <w:lang w:val="en-US" w:eastAsia="zh-CN"/>
                <w14:ligatures w14:val="none"/>
              </w:rPr>
              <w:t>用</w:t>
            </w: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SAP Build Process Automation (BPA)自动从客户网站下载订单数据，或直接处理客户发送的Excel文件。</w:t>
            </w:r>
          </w:p>
          <w:p w14:paraId="0388E8E0">
            <w:pPr>
              <w:numPr>
                <w:ilvl w:val="0"/>
                <w:numId w:val="13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非结构化数据（PDF文档）：通</w:t>
            </w:r>
            <w:r>
              <w:rPr>
                <w:rFonts w:hint="eastAsia" w:ascii="Arial" w:hAnsi="Arial" w:cs="Arial" w:eastAsiaTheme="minorEastAsia"/>
                <w:color w:val="000000"/>
                <w:kern w:val="0"/>
                <w:szCs w:val="20"/>
                <w:lang w:val="en-US" w:eastAsia="zh-CN"/>
                <w14:ligatures w14:val="none"/>
              </w:rPr>
              <w:t>过</w:t>
            </w: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SAP Document AI进行OCR识别和数据提取，自动解析PDF格式的客户采购订单。</w:t>
            </w:r>
          </w:p>
          <w:p w14:paraId="26E8B90F">
            <w:pPr>
              <w:numPr>
                <w:ilvl w:val="0"/>
                <w:numId w:val="14"/>
              </w:numPr>
              <w:ind w:left="420" w:leftChars="0" w:hanging="420" w:firstLineChars="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  <w:t>数据处理与验证：利用SAP AI Core进行智能数据验证、订单规则检查和异常识别，确保订单数据符合业务标准。</w:t>
            </w:r>
          </w:p>
          <w:p w14:paraId="71CC9C6D">
            <w:pPr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Cs w:val="20"/>
                <w14:ligatures w14:val="none"/>
              </w:rPr>
            </w:pPr>
          </w:p>
          <w:p w14:paraId="6EEC417C">
            <w:pPr>
              <w:contextualSpacing/>
              <w:rPr>
                <w:rFonts w:hint="default" w:ascii="Arial" w:hAnsi="Arial" w:cs="Arial" w:eastAsiaTheme="minor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000000"/>
                <w:kern w:val="0"/>
                <w:sz w:val="20"/>
                <w:szCs w:val="20"/>
                <w14:ligatures w14:val="none"/>
              </w:rPr>
              <w:t>预期结果：</w:t>
            </w:r>
          </w:p>
          <w:p w14:paraId="7DEFFE9F">
            <w:pPr>
              <w:numPr>
                <w:ilvl w:val="0"/>
                <w:numId w:val="15"/>
              </w:numPr>
              <w:ind w:left="720" w:hanging="36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 w:val="20"/>
                <w:szCs w:val="20"/>
                <w14:ligatures w14:val="none"/>
              </w:rPr>
              <w:t>我期望这些证书的验证过程能够被全面记录，确保所有必要信息都被高效登记。</w:t>
            </w:r>
          </w:p>
          <w:p w14:paraId="342A8A82">
            <w:pPr>
              <w:numPr>
                <w:ilvl w:val="0"/>
                <w:numId w:val="15"/>
              </w:numPr>
              <w:ind w:left="720" w:hanging="360"/>
              <w:contextualSpacing/>
              <w:rPr>
                <w:rFonts w:hint="default" w:ascii="Arial" w:hAnsi="Arial" w:cs="Arial" w:eastAsiaTheme="minorEastAsia"/>
                <w:color w:val="000000"/>
                <w:kern w:val="0"/>
                <w:sz w:val="18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000000"/>
                <w:kern w:val="0"/>
                <w:sz w:val="20"/>
                <w:szCs w:val="20"/>
                <w14:ligatures w14:val="none"/>
              </w:rPr>
              <w:t>此外，我还希望我们的质量评估流程能够大幅简化，减少人工操作，提高准确性。</w:t>
            </w:r>
          </w:p>
          <w:p w14:paraId="48E42903">
            <w:pPr>
              <w:contextualSpacing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</w:p>
        </w:tc>
      </w:tr>
      <w:tr w14:paraId="520C6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0070F2"/>
          </w:tcPr>
          <w:p w14:paraId="4A1D8679">
            <w:pPr>
              <w:spacing w:line="279" w:lineRule="auto"/>
              <w:rPr>
                <w:rFonts w:hint="default" w:ascii="Arial" w:hAnsi="Arial" w:cs="Arial" w:eastAsiaTheme="minor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FFFFFF"/>
                <w:kern w:val="0"/>
                <w:sz w:val="22"/>
                <w:szCs w:val="22"/>
                <w14:ligatures w14:val="none"/>
              </w:rPr>
              <w:t>场景设定</w:t>
            </w:r>
          </w:p>
        </w:tc>
        <w:tc>
          <w:tcPr>
            <w:tcW w:w="4740" w:type="dxa"/>
            <w:shd w:val="clear" w:color="auto" w:fill="0070F2"/>
          </w:tcPr>
          <w:p w14:paraId="7A693016">
            <w:pPr>
              <w:rPr>
                <w:rFonts w:hint="default" w:ascii="Arial" w:hAnsi="Arial" w:cs="Arial" w:eastAsiaTheme="minor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</w:p>
        </w:tc>
      </w:tr>
      <w:tr w14:paraId="6DF2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</w:trPr>
        <w:tc>
          <w:tcPr>
            <w:tcW w:w="9516" w:type="dxa"/>
            <w:gridSpan w:val="2"/>
            <w:shd w:val="clear" w:color="auto" w:fill="FFFFFF"/>
          </w:tcPr>
          <w:p w14:paraId="445C81DA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大家好，[早上/下午]好。我是 [您的姓名]，SAP 的一名订单管理专员，今天将向大家展示前沿AI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和自动化工具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如何优化我们的销售订单处理流程。</w:t>
            </w:r>
          </w:p>
          <w:p w14:paraId="51EF9B81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  <w:p w14:paraId="029B511A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在我们节奏快速的工作环境中，效率和准确性至关重要。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像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BPA、SAP Document AI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和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SAP AI Core，正在彻底改变我们处理销售订单的方式，并为我们提供前所未有的洞察力和自动化能力。</w:t>
            </w:r>
          </w:p>
          <w:p w14:paraId="67F7D56D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  <w:p w14:paraId="674279D4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没有 AI 的情况下，我们需要手动登录客户网站，逐个查找订单信息，下载Excel文件。回到工位后，我还需要将订单信息手动输入到S/4 HANA系统中，然后逐一验证数据准确性。这不仅耗时，而且容易出错。</w:t>
            </w:r>
          </w:p>
          <w:p w14:paraId="4DB2DF1E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  <w:p w14:paraId="2AE4170B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同时，还有一些客户会通过邮件附件PDF附件得方式上传采购订单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，我还要花时间阅读客户提供的PDF，手动提取关键信息如：客户代码、采购订单号、物料编号、数量、交货日期等。这些数字和信息容易出错，也很难追踪。</w:t>
            </w:r>
          </w:p>
          <w:p w14:paraId="47625D2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  <w:p w14:paraId="3C0DC397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最耗时的是，客户订单数据不完整或缺失关键信息的时候。这时我需要反复联系客户并手动确认各项信息，这一步骤可能会延误整个订单处理流程。</w:t>
            </w:r>
          </w:p>
          <w:p w14:paraId="5B493A7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  <w:p w14:paraId="0D145A62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现在，让我们看看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:lang w:val="en-US" w:eastAsia="zh-CN"/>
                <w14:ligatures w14:val="none"/>
              </w:rPr>
              <w:t>BPA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  <w:t>和 SAP Document AI 如何彻底革新这一流程，让其更加可靠。</w:t>
            </w:r>
          </w:p>
          <w:p w14:paraId="2D5407E8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22"/>
                <w:shd w:val="clear" w:color="auto" w:fill="FFFFFF"/>
                <w14:ligatures w14:val="none"/>
              </w:rPr>
            </w:pPr>
          </w:p>
        </w:tc>
      </w:tr>
      <w:tr w14:paraId="7D13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0070F2"/>
          </w:tcPr>
          <w:p w14:paraId="7A29ADCB">
            <w:pPr>
              <w:spacing w:line="279" w:lineRule="auto"/>
              <w:rPr>
                <w:rFonts w:hint="default" w:ascii="Arial" w:hAnsi="Arial" w:cs="Arial" w:eastAsiaTheme="minor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FFFFFF"/>
                <w:kern w:val="0"/>
                <w:sz w:val="22"/>
                <w:szCs w:val="22"/>
                <w14:ligatures w14:val="none"/>
              </w:rPr>
              <w:t>演示</w:t>
            </w:r>
          </w:p>
        </w:tc>
        <w:tc>
          <w:tcPr>
            <w:tcW w:w="4740" w:type="dxa"/>
            <w:shd w:val="clear" w:color="auto" w:fill="0070F2"/>
          </w:tcPr>
          <w:p w14:paraId="24ACF327">
            <w:pPr>
              <w:rPr>
                <w:rFonts w:hint="default" w:ascii="Arial" w:hAnsi="Arial" w:cs="Arial" w:eastAsiaTheme="minor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b/>
                <w:color w:val="FFFFFF"/>
                <w:kern w:val="0"/>
                <w:sz w:val="22"/>
                <w:szCs w:val="22"/>
                <w14:ligatures w14:val="none"/>
              </w:rPr>
              <w:t>请说</w:t>
            </w:r>
          </w:p>
        </w:tc>
      </w:tr>
      <w:tr w14:paraId="7DC6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56B9C44B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</w:p>
          <w:p w14:paraId="0D373241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1135A616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首先，我会向一个中央收件箱发送几封邮件，供应商会在货物到达仓库前将质量证书发送到这里。</w:t>
            </w:r>
          </w:p>
          <w:p w14:paraId="59B39C1C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0A2BC9CB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邮件发送后，SAP Document AI 会自动检索附件，利用基于大型语言模型（LLM）的先进 AI 技术进行处理。它还可以从共享文件夹上传文档。</w:t>
            </w:r>
          </w:p>
          <w:p w14:paraId="4FC4B227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5201DD88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SAP Document AI 不仅仅是获取文档——它能够理解流程上下文，自动读取（OCR）并提取其中的相关业务实体。</w:t>
            </w:r>
          </w:p>
          <w:p w14:paraId="5D21E026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6A3CE5A4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最棒的是？所有这些都在我喝咖啡、与同事聊昨晚决赛时自动完成。</w:t>
            </w:r>
          </w:p>
        </w:tc>
      </w:tr>
      <w:tr w14:paraId="69BB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4776" w:type="dxa"/>
            <w:shd w:val="clear" w:color="auto" w:fill="FFFFFF"/>
          </w:tcPr>
          <w:p w14:paraId="6BAE7948">
            <w:pPr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  <w:t xml:space="preserve">启动 SAP </w:t>
            </w: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Workzone</w:t>
            </w:r>
          </w:p>
          <w:p w14:paraId="4EB6A999">
            <w:pP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4387D690">
            <w:pP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643630" cy="1818005"/>
                  <wp:effectExtent l="0" t="0" r="13970" b="1079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4150F7FD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 xml:space="preserve">到达工位后，我会从 SAP 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Workzone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着陆页开始，在这里可以看到所有相关应用。</w:t>
            </w:r>
          </w:p>
        </w:tc>
      </w:tr>
      <w:tr w14:paraId="1DC9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6FCFCB2B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  <w:t>打开</w:t>
            </w: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SO Automation</w:t>
            </w:r>
          </w:p>
          <w:p w14:paraId="10DAA490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676650" cy="1834515"/>
                  <wp:effectExtent l="0" t="0" r="0" b="133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AD4B2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7E654EBC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让我们从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Workzone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开始，我点击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SO Automation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图标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eastAsia="zh-CN"/>
                <w14:ligatures w14:val="none"/>
              </w:rPr>
              <w:t>，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来进入到流程自动化的Application</w:t>
            </w: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br w:type="textWrapping"/>
            </w:r>
          </w:p>
          <w:p w14:paraId="12D441A6">
            <w:pP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2FC3B7E2">
            <w:pPr>
              <w:rPr>
                <w:rFonts w:hint="default" w:ascii="Arial" w:hAnsi="Arial" w:cs="Arial" w:eastAsiaTheme="minor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3BF9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2941AA82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进入到SO Automation业务流程界面</w:t>
            </w:r>
          </w:p>
          <w:p w14:paraId="6B088267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464560" cy="1728470"/>
                  <wp:effectExtent l="0" t="0" r="2540" b="508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560" cy="172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4332F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3721E476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4618E8F7">
            <w:pPr>
              <w:contextualSpacing/>
              <w:rPr>
                <w:rFonts w:hint="default" w:ascii="Arial" w:hAnsi="Arial" w:cs="Arial" w:eastAsiaTheme="minorEastAsia"/>
                <w:color w:val="A5A5A5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进入到SO Automation业务流程界面，这里可以看到销售订单自动化创建的全流程步骤。</w:t>
            </w:r>
          </w:p>
          <w:p w14:paraId="330F00DF">
            <w:pPr>
              <w:contextualSpacing/>
              <w:rPr>
                <w:rFonts w:hint="default" w:ascii="Arial" w:hAnsi="Arial" w:cs="Arial" w:eastAsiaTheme="minorEastAsia"/>
                <w:color w:val="A5A5A5"/>
                <w:kern w:val="0"/>
                <w:sz w:val="22"/>
                <w:szCs w:val="22"/>
                <w14:ligatures w14:val="none"/>
              </w:rPr>
            </w:pPr>
          </w:p>
        </w:tc>
      </w:tr>
      <w:tr w14:paraId="55E4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507E39FC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进入到数据获取的界面，先点结构化数据获取一版数据</w:t>
            </w:r>
          </w:p>
          <w:p w14:paraId="30FD0EA1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244215" cy="1618615"/>
                  <wp:effectExtent l="0" t="0" r="13335" b="63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215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36686C01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我们点击数据获取进入到数据获取的页面，这里客户A的采购订单是放在了网页上，客户B的采购订单是通过邮件附件PDF的形式发送到你的邮件里了。</w:t>
            </w:r>
          </w:p>
          <w:p w14:paraId="6B71B342">
            <w:pPr>
              <w:rPr>
                <w:rFonts w:hint="default" w:ascii="Arial" w:hAnsi="Arial" w:cs="Arial" w:eastAsiaTheme="minorEastAsia"/>
                <w:color w:val="1D2D3E"/>
                <w:kern w:val="0"/>
                <w:sz w:val="15"/>
                <w:szCs w:val="15"/>
                <w:shd w:val="clear" w:color="auto" w:fill="FFFFFF"/>
                <w14:ligatures w14:val="none"/>
              </w:rPr>
            </w:pPr>
          </w:p>
        </w:tc>
      </w:tr>
      <w:tr w14:paraId="7553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5" w:hRule="atLeast"/>
        </w:trPr>
        <w:tc>
          <w:tcPr>
            <w:tcW w:w="4776" w:type="dxa"/>
            <w:shd w:val="clear" w:color="auto" w:fill="FFFFFF"/>
          </w:tcPr>
          <w:p w14:paraId="5344697C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选择用户</w:t>
            </w:r>
            <w: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  <w:t>界面和</w:t>
            </w: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下载</w:t>
            </w:r>
            <w:r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  <w:t>说明</w:t>
            </w:r>
          </w:p>
          <w:p w14:paraId="1455375F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217545" cy="1605280"/>
                  <wp:effectExtent l="0" t="0" r="1905" b="1397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545" cy="160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00849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4797E06F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004CBD5B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lang w:val="en-US" w:eastAsia="zh-CN"/>
                <w14:ligatures w14:val="none"/>
              </w:rPr>
              <w:t>这里选择客户A，自动带出客户A的网址以及客户A的网站连接，点击download就能把客户A的Excel文件下载到本地。</w:t>
            </w:r>
          </w:p>
          <w:p w14:paraId="1F06AC7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188BF48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453C5B86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132108B9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080EC2CC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6E100796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153FF353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77D5BCAA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14:ligatures w14:val="none"/>
              </w:rPr>
            </w:pPr>
          </w:p>
          <w:p w14:paraId="6FD9239C">
            <w:pPr>
              <w:contextualSpacing/>
              <w:rPr>
                <w:rFonts w:hint="default" w:ascii="Arial" w:hAnsi="Arial" w:cs="Arial" w:eastAsiaTheme="minorEastAsia"/>
                <w:color w:val="D20ADA"/>
                <w:kern w:val="0"/>
                <w:sz w:val="18"/>
                <w:szCs w:val="18"/>
                <w14:ligatures w14:val="none"/>
              </w:rPr>
            </w:pPr>
          </w:p>
        </w:tc>
      </w:tr>
      <w:tr w14:paraId="7F77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6" w:hRule="atLeast"/>
        </w:trPr>
        <w:tc>
          <w:tcPr>
            <w:tcW w:w="4776" w:type="dxa"/>
            <w:shd w:val="clear" w:color="auto" w:fill="FFFFFF"/>
          </w:tcPr>
          <w:p w14:paraId="2C0FCA2E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选择用户界面和非结构化数据下载说明</w:t>
            </w:r>
          </w:p>
          <w:p w14:paraId="0E0902D8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03C8992E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219450" cy="1606550"/>
                  <wp:effectExtent l="0" t="0" r="0" b="1270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0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6BB510C2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lang w:val="en-US" w:eastAsia="zh-CN"/>
                <w14:ligatures w14:val="none"/>
              </w:rPr>
              <w:t>这里选择客户B，选择非结构化数据，这里点击document ai跳到document ai 界面进行非结构化数据的提取。</w:t>
            </w:r>
          </w:p>
          <w:p w14:paraId="2BBE57A1">
            <w:pPr>
              <w:contextualSpacing/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1BC941D6">
            <w:pPr>
              <w:tabs>
                <w:tab w:val="left" w:pos="1023"/>
              </w:tabs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7902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2352D2B5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进入document ai的身份验证</w:t>
            </w:r>
          </w:p>
          <w:p w14:paraId="3413987F">
            <w:pPr>
              <w:spacing w:line="279" w:lineRule="auto"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  <w:r>
              <w:drawing>
                <wp:inline distT="0" distB="0" distL="114300" distR="114300">
                  <wp:extent cx="3661410" cy="1826895"/>
                  <wp:effectExtent l="0" t="0" r="15240" b="190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410" cy="18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C3EEF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448C3076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进入到身份验证环节</w:t>
            </w:r>
          </w:p>
        </w:tc>
      </w:tr>
      <w:tr w14:paraId="1F1C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45A08852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kern w:val="0"/>
                <w:sz w:val="22"/>
                <w:szCs w:val="22"/>
                <w:lang w:val="en-US" w:eastAsia="zh-CN"/>
                <w14:ligatures w14:val="none"/>
              </w:rPr>
              <w:t>选择新增任务</w:t>
            </w:r>
          </w:p>
          <w:p w14:paraId="6CFC2456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Arial" w:hAnsi="Arial" w:cs="Arial" w:eastAsiaTheme="minorEastAsia"/>
                <w:kern w:val="0"/>
                <w14:ligatures w14:val="none"/>
              </w:rPr>
              <w:drawing>
                <wp:inline distT="0" distB="0" distL="0" distR="0">
                  <wp:extent cx="0" cy="0"/>
                  <wp:effectExtent l="0" t="0" r="0" b="0"/>
                  <wp:docPr id="20766173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6173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6C74D">
            <w:pPr>
              <w:spacing w:line="279" w:lineRule="auto"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  <w:r>
              <w:drawing>
                <wp:inline distT="0" distB="0" distL="114300" distR="114300">
                  <wp:extent cx="3573145" cy="1783080"/>
                  <wp:effectExtent l="0" t="0" r="8255" b="762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45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6218C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311802B3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40CAC189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</w:pPr>
            <w:r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  <w:t>在 SAP Document AI 查看器中，</w:t>
            </w: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我选择添加任务。</w:t>
            </w:r>
          </w:p>
          <w:p w14:paraId="01E0E1A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  <w:p w14:paraId="1FBE9D46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522C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118B4313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581400" cy="1787525"/>
                  <wp:effectExtent l="0" t="0" r="0" b="317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78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7390A32C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</w:pPr>
            <w:r>
              <w:rPr>
                <w:rFonts w:hint="eastAsia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:lang w:val="en-US" w:eastAsia="zh-CN"/>
                <w14:ligatures w14:val="none"/>
              </w:rPr>
              <w:t>选择采购订单的非结构化数据</w:t>
            </w:r>
          </w:p>
        </w:tc>
      </w:tr>
      <w:tr w14:paraId="5D98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77BA4B4E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780155" cy="1886585"/>
                  <wp:effectExtent l="0" t="0" r="10795" b="18415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155" cy="188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06663819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7032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76F887D4">
            <w:pPr>
              <w:spacing w:line="279" w:lineRule="auto"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  <w:r>
              <w:drawing>
                <wp:inline distT="0" distB="0" distL="114300" distR="114300">
                  <wp:extent cx="3718560" cy="1855470"/>
                  <wp:effectExtent l="0" t="0" r="15240" b="11430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185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7F415674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5939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4776" w:type="dxa"/>
            <w:shd w:val="clear" w:color="auto" w:fill="FFFFFF"/>
          </w:tcPr>
          <w:p w14:paraId="5D44A9A9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17702208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750945" cy="1871980"/>
                  <wp:effectExtent l="0" t="0" r="1905" b="13970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5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D7EDD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02D3BA75">
            <w:pPr>
              <w:contextualSpacing/>
              <w:rPr>
                <w:rFonts w:hint="default" w:ascii="Arial" w:hAnsi="Arial" w:cs="Arial" w:eastAsiaTheme="minorEastAsia"/>
                <w:b/>
                <w:color w:val="D20ADA"/>
                <w:kern w:val="0"/>
                <w:sz w:val="22"/>
                <w:szCs w:val="22"/>
                <w:shd w:val="clear" w:color="auto" w:fill="FFFFFF"/>
                <w14:ligatures w14:val="none"/>
              </w:rPr>
            </w:pPr>
          </w:p>
        </w:tc>
      </w:tr>
      <w:tr w14:paraId="1058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4776" w:type="dxa"/>
            <w:shd w:val="clear" w:color="auto" w:fill="FFFFFF"/>
          </w:tcPr>
          <w:p w14:paraId="760DF6A0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3734435" cy="1863725"/>
                  <wp:effectExtent l="0" t="0" r="18415" b="3175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435" cy="186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6C5C2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  <w:p w14:paraId="1A058449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40" w:type="dxa"/>
            <w:shd w:val="clear" w:color="auto" w:fill="FFFFFF"/>
          </w:tcPr>
          <w:p w14:paraId="2E3D428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6628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4776" w:type="dxa"/>
            <w:shd w:val="clear" w:color="auto" w:fill="FFFFFF"/>
          </w:tcPr>
          <w:p w14:paraId="385E09D1">
            <w:pPr>
              <w:spacing w:line="279" w:lineRule="auto"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  <w:r>
              <w:drawing>
                <wp:inline distT="0" distB="0" distL="114300" distR="114300">
                  <wp:extent cx="3775710" cy="1884045"/>
                  <wp:effectExtent l="0" t="0" r="15240" b="1905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71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75EB53BA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0EA2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4776" w:type="dxa"/>
            <w:shd w:val="clear" w:color="auto" w:fill="FFFFFF"/>
          </w:tcPr>
          <w:p w14:paraId="5A48218A">
            <w:pPr>
              <w:spacing w:line="279" w:lineRule="auto"/>
              <w:rPr>
                <w:rFonts w:hint="default" w:ascii="Arial" w:hAnsi="Arial" w:cs="Arial" w:eastAsiaTheme="minorEastAsia"/>
                <w:kern w:val="0"/>
                <w14:ligatures w14:val="none"/>
              </w:rPr>
            </w:pPr>
            <w:r>
              <w:drawing>
                <wp:inline distT="0" distB="0" distL="114300" distR="114300">
                  <wp:extent cx="3769360" cy="1880870"/>
                  <wp:effectExtent l="0" t="0" r="2540" b="508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360" cy="188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40639ED9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447A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64AB2687">
            <w:pPr>
              <w:spacing w:line="279" w:lineRule="auto"/>
              <w:rPr>
                <w:rFonts w:hint="default" w:ascii="Arial" w:hAnsi="Arial" w:cs="Arial" w:eastAsiaTheme="minorEastAsia"/>
                <w:kern w:val="0"/>
                <w:sz w:val="22"/>
                <w:szCs w:val="22"/>
                <w14:ligatures w14:val="none"/>
              </w:rPr>
            </w:pPr>
            <w:r>
              <w:drawing>
                <wp:inline distT="0" distB="0" distL="114300" distR="114300">
                  <wp:extent cx="2225040" cy="2747010"/>
                  <wp:effectExtent l="0" t="0" r="3810" b="15240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274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27ED3134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2D60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10F1CB15">
            <w:pPr>
              <w:spacing w:line="279" w:lineRule="auto"/>
            </w:pPr>
            <w:r>
              <w:drawing>
                <wp:inline distT="0" distB="0" distL="114300" distR="114300">
                  <wp:extent cx="3637280" cy="1814830"/>
                  <wp:effectExtent l="0" t="0" r="1270" b="13970"/>
                  <wp:docPr id="2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280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45A65883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1884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56C38701">
            <w:pPr>
              <w:spacing w:line="279" w:lineRule="auto"/>
            </w:pPr>
            <w:r>
              <w:drawing>
                <wp:inline distT="0" distB="0" distL="114300" distR="114300">
                  <wp:extent cx="3516630" cy="1754505"/>
                  <wp:effectExtent l="0" t="0" r="7620" b="17145"/>
                  <wp:docPr id="2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630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1943ECC7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1D5C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511BF9A7">
            <w:pPr>
              <w:spacing w:line="279" w:lineRule="auto"/>
            </w:pPr>
            <w:r>
              <w:drawing>
                <wp:inline distT="0" distB="0" distL="114300" distR="114300">
                  <wp:extent cx="3277235" cy="2358390"/>
                  <wp:effectExtent l="0" t="0" r="18415" b="3810"/>
                  <wp:docPr id="2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235" cy="23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5DC82E58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33C0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7F49FB14">
            <w:pPr>
              <w:spacing w:line="279" w:lineRule="auto"/>
            </w:pPr>
            <w:r>
              <w:drawing>
                <wp:inline distT="0" distB="0" distL="114300" distR="114300">
                  <wp:extent cx="4051300" cy="1924050"/>
                  <wp:effectExtent l="0" t="0" r="6350" b="0"/>
                  <wp:docPr id="2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082D9FD0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15D2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47FDCF3C">
            <w:pPr>
              <w:spacing w:line="279" w:lineRule="auto"/>
            </w:pPr>
            <w:r>
              <w:drawing>
                <wp:inline distT="0" distB="0" distL="114300" distR="114300">
                  <wp:extent cx="3960495" cy="1976120"/>
                  <wp:effectExtent l="0" t="0" r="1905" b="5080"/>
                  <wp:docPr id="2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495" cy="197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177E2D0F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00EC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1B8B4B11">
            <w:pPr>
              <w:spacing w:line="279" w:lineRule="auto"/>
            </w:pPr>
            <w:r>
              <w:drawing>
                <wp:inline distT="0" distB="0" distL="114300" distR="114300">
                  <wp:extent cx="3893820" cy="1849120"/>
                  <wp:effectExtent l="0" t="0" r="11430" b="17780"/>
                  <wp:docPr id="2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184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12730B85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1487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6B2261C4">
            <w:pPr>
              <w:spacing w:line="279" w:lineRule="auto"/>
            </w:pPr>
            <w:r>
              <w:drawing>
                <wp:inline distT="0" distB="0" distL="114300" distR="114300">
                  <wp:extent cx="3662045" cy="1739265"/>
                  <wp:effectExtent l="0" t="0" r="14605" b="13335"/>
                  <wp:docPr id="2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045" cy="173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1D4AB30F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08B5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4B551230">
            <w:pPr>
              <w:spacing w:line="279" w:lineRule="auto"/>
            </w:pPr>
            <w:bookmarkStart w:id="0" w:name="_GoBack"/>
            <w:r>
              <w:drawing>
                <wp:inline distT="0" distB="0" distL="114300" distR="114300">
                  <wp:extent cx="4019550" cy="1908810"/>
                  <wp:effectExtent l="0" t="0" r="0" b="15240"/>
                  <wp:docPr id="2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90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740" w:type="dxa"/>
            <w:shd w:val="clear" w:color="auto" w:fill="FFFFFF"/>
          </w:tcPr>
          <w:p w14:paraId="026108E6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  <w:tr w14:paraId="7BD7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776" w:type="dxa"/>
            <w:shd w:val="clear" w:color="auto" w:fill="FFFFFF"/>
          </w:tcPr>
          <w:p w14:paraId="77B994F2">
            <w:pPr>
              <w:spacing w:line="279" w:lineRule="auto"/>
            </w:pPr>
            <w:r>
              <w:drawing>
                <wp:inline distT="0" distB="0" distL="114300" distR="114300">
                  <wp:extent cx="4250055" cy="2120265"/>
                  <wp:effectExtent l="0" t="0" r="17145" b="13335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055" cy="212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shd w:val="clear" w:color="auto" w:fill="FFFFFF"/>
          </w:tcPr>
          <w:p w14:paraId="1159D809">
            <w:pPr>
              <w:contextualSpacing/>
              <w:rPr>
                <w:rFonts w:hint="default" w:ascii="Arial" w:hAnsi="Arial" w:cs="Arial" w:eastAsiaTheme="minorEastAsia"/>
                <w:color w:val="1D2D3E"/>
                <w:kern w:val="0"/>
                <w:sz w:val="18"/>
                <w:szCs w:val="18"/>
                <w:shd w:val="clear" w:color="auto" w:fill="FFFFFF"/>
                <w14:ligatures w14:val="none"/>
              </w:rPr>
            </w:pPr>
          </w:p>
        </w:tc>
      </w:tr>
    </w:tbl>
    <w:p w14:paraId="42B59A8D">
      <w:pPr>
        <w:rPr>
          <w:rFonts w:hint="default" w:ascii="Arial" w:hAnsi="Arial" w:cs="Arial" w:eastAsiaTheme="minorEastAsia"/>
          <w:kern w:val="0"/>
          <w:sz w:val="22"/>
          <w:szCs w:val="22"/>
          <w14:ligatures w14:val="none"/>
        </w:rPr>
      </w:pPr>
    </w:p>
    <w:p w14:paraId="362170B3">
      <w:pPr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</w:rPr>
        <w:br w:type="page"/>
      </w:r>
    </w:p>
    <w:p w14:paraId="7EE84535">
      <w:pPr>
        <w:rPr>
          <w:rFonts w:hint="default" w:ascii="Arial" w:hAnsi="Arial" w:cs="Arial" w:eastAsiaTheme="minorEastAsia"/>
          <w:b/>
          <w:bCs/>
          <w:kern w:val="2"/>
          <w:sz w:val="28"/>
          <w:szCs w:val="36"/>
          <w14:ligatures w14:val="standardContextual"/>
        </w:rPr>
      </w:pPr>
      <w:r>
        <w:rPr>
          <w:rFonts w:hint="default" w:ascii="Arial" w:hAnsi="Arial" w:cs="Arial" w:eastAsiaTheme="minorEastAsia"/>
          <w:b/>
          <w:kern w:val="2"/>
          <w:sz w:val="28"/>
          <w:szCs w:val="36"/>
          <w14:ligatures w14:val="standardContextual"/>
        </w:rPr>
        <w:t>提示速查表</w:t>
      </w:r>
    </w:p>
    <w:p w14:paraId="7BE5FE25">
      <w:pPr>
        <w:rPr>
          <w:rFonts w:hint="default" w:ascii="Arial" w:hAnsi="Arial" w:cs="Arial" w:eastAsiaTheme="minorEastAsia"/>
          <w:b/>
          <w:bCs/>
          <w:sz w:val="28"/>
          <w:szCs w:val="36"/>
        </w:rPr>
      </w:pPr>
    </w:p>
    <w:p w14:paraId="5E2C3417">
      <w:pPr>
        <w:spacing w:line="259" w:lineRule="auto"/>
        <w:rPr>
          <w:rFonts w:hint="default" w:ascii="Arial" w:hAnsi="Arial" w:cs="Arial" w:eastAsiaTheme="minorEastAsia"/>
        </w:rPr>
      </w:pPr>
      <w:r>
        <w:rPr>
          <w:rFonts w:hint="default" w:ascii="Arial" w:hAnsi="Arial" w:cs="Arial" w:eastAsiaTheme="minorEastAsia"/>
          <w:b/>
        </w:rPr>
        <w:t>操作说明</w:t>
      </w:r>
      <w:r>
        <w:rPr>
          <w:rFonts w:hint="default" w:ascii="Arial" w:hAnsi="Arial" w:cs="Arial" w:eastAsiaTheme="minorEastAsia"/>
        </w:rPr>
        <w:br w:type="textWrapping"/>
      </w:r>
      <w:r>
        <w:rPr>
          <w:rFonts w:hint="default" w:ascii="Arial" w:hAnsi="Arial" w:cs="Arial" w:eastAsiaTheme="minorEastAsia"/>
        </w:rPr>
        <w:t>将所有提示添加到此页面，以便在现场演示时能在一页上简单参考和把控整体流程。您可以将此页面放在第二屏幕上，根据需要复制粘贴文本。</w:t>
      </w:r>
    </w:p>
    <w:p w14:paraId="536AA9F5">
      <w:pPr>
        <w:rPr>
          <w:rFonts w:hint="default" w:ascii="Arial" w:hAnsi="Arial" w:cs="Arial" w:eastAsiaTheme="minorEastAsia"/>
          <w:color w:val="000000"/>
          <w:sz w:val="22"/>
          <w:szCs w:val="22"/>
        </w:rPr>
      </w:pPr>
    </w:p>
    <w:p w14:paraId="7058D3D3">
      <w:pPr>
        <w:rPr>
          <w:rFonts w:hint="default" w:ascii="Arial" w:hAnsi="Arial" w:cs="Arial" w:eastAsiaTheme="minorEastAsia"/>
          <w:color w:val="000000"/>
          <w:sz w:val="22"/>
          <w:szCs w:val="22"/>
        </w:rPr>
      </w:pPr>
    </w:p>
    <w:p w14:paraId="6487CAC9">
      <w:pPr>
        <w:rPr>
          <w:rFonts w:hint="default" w:ascii="Arial" w:hAnsi="Arial" w:cs="Arial" w:eastAsiaTheme="minorEastAsia"/>
          <w:color w:val="000000"/>
          <w:sz w:val="22"/>
          <w:szCs w:val="22"/>
        </w:rPr>
      </w:pPr>
    </w:p>
    <w:p w14:paraId="7915075B">
      <w:pPr>
        <w:rPr>
          <w:rFonts w:hint="default" w:ascii="Arial" w:hAnsi="Arial" w:cs="Arial" w:eastAsiaTheme="minorEastAsia"/>
          <w:color w:val="000000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0000"/>
          <w:kern w:val="2"/>
          <w:sz w:val="22"/>
          <w:szCs w:val="22"/>
          <w14:ligatures w14:val="standardContextual"/>
        </w:rPr>
        <w:t>用户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2"/>
          <w14:ligatures w14:val="standardContextual"/>
        </w:rPr>
        <w:t>：列出今天所有的质量证书文档</w:t>
      </w:r>
    </w:p>
    <w:p w14:paraId="58B2ED4A">
      <w:pPr>
        <w:rPr>
          <w:rFonts w:hint="default" w:ascii="Arial" w:hAnsi="Arial" w:cs="Arial" w:eastAsiaTheme="minorEastAsia"/>
          <w:color w:val="000000"/>
          <w:sz w:val="22"/>
          <w:szCs w:val="22"/>
        </w:rPr>
      </w:pPr>
    </w:p>
    <w:p w14:paraId="36B19A34">
      <w:pPr>
        <w:rPr>
          <w:rFonts w:hint="default" w:ascii="Arial" w:hAnsi="Arial" w:cs="Arial" w:eastAsiaTheme="minorEastAsia"/>
          <w:color w:val="000000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color w:val="000000"/>
          <w:kern w:val="2"/>
          <w:sz w:val="22"/>
          <w:szCs w:val="22"/>
          <w14:ligatures w14:val="standardContextual"/>
        </w:rPr>
        <w:t>Joule</w:t>
      </w:r>
      <w:r>
        <w:rPr>
          <w:rFonts w:hint="default" w:ascii="Arial" w:hAnsi="Arial" w:cs="Arial" w:eastAsiaTheme="minorEastAsia"/>
          <w:color w:val="000000"/>
          <w:kern w:val="2"/>
          <w:sz w:val="22"/>
          <w:szCs w:val="22"/>
          <w14:ligatures w14:val="standardContextual"/>
        </w:rPr>
        <w:t>：您想查看状态为“需要审核”的文档 XYZ 的详细信息吗？</w:t>
      </w:r>
    </w:p>
    <w:p w14:paraId="0E553F11">
      <w:pPr>
        <w:rPr>
          <w:rFonts w:hint="default" w:ascii="Arial" w:hAnsi="Arial" w:cs="Arial" w:eastAsiaTheme="minorEastAsia"/>
          <w:color w:val="000000"/>
          <w:sz w:val="22"/>
          <w:szCs w:val="22"/>
        </w:rPr>
      </w:pPr>
    </w:p>
    <w:p w14:paraId="7A5AB3ED">
      <w:pP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kern w:val="2"/>
          <w:sz w:val="22"/>
          <w:szCs w:val="22"/>
          <w14:ligatures w14:val="standardContextual"/>
        </w:rPr>
        <w:t>用户</w:t>
      </w:r>
      <w: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  <w:t>：是的</w:t>
      </w:r>
    </w:p>
    <w:p w14:paraId="683C6A27">
      <w:pPr>
        <w:rPr>
          <w:rFonts w:hint="default" w:ascii="Arial" w:hAnsi="Arial" w:cs="Arial" w:eastAsiaTheme="minorEastAsia"/>
          <w:sz w:val="22"/>
          <w:szCs w:val="22"/>
        </w:rPr>
      </w:pPr>
    </w:p>
    <w:p w14:paraId="6B6F55D4">
      <w:pP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kern w:val="2"/>
          <w:sz w:val="22"/>
          <w:szCs w:val="22"/>
          <w14:ligatures w14:val="standardContextual"/>
        </w:rPr>
        <w:t>Joule</w:t>
      </w:r>
      <w: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  <w:t>：采购订单号需要您关注，因为其准确度低于可接受阈值。您想在 SAP Document AI 中审核它吗？</w:t>
      </w:r>
    </w:p>
    <w:p w14:paraId="0BA432B7">
      <w:pPr>
        <w:rPr>
          <w:rFonts w:hint="default" w:ascii="Arial" w:hAnsi="Arial" w:cs="Arial" w:eastAsiaTheme="minorEastAsia"/>
          <w:sz w:val="22"/>
          <w:szCs w:val="22"/>
        </w:rPr>
      </w:pPr>
    </w:p>
    <w:p w14:paraId="5CA5362D">
      <w:pP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kern w:val="2"/>
          <w:sz w:val="22"/>
          <w:szCs w:val="22"/>
          <w14:ligatures w14:val="standardContextual"/>
        </w:rPr>
        <w:t>用户</w:t>
      </w:r>
      <w:r>
        <w:rPr>
          <w:rFonts w:hint="default" w:ascii="Arial" w:hAnsi="Arial" w:cs="Arial" w:eastAsiaTheme="minorEastAsia"/>
          <w:kern w:val="2"/>
          <w:sz w:val="22"/>
          <w:szCs w:val="22"/>
          <w14:ligatures w14:val="standardContextual"/>
        </w:rPr>
        <w:t>：点击这里</w:t>
      </w:r>
    </w:p>
    <w:p w14:paraId="24109D0A">
      <w:pPr>
        <w:rPr>
          <w:rFonts w:hint="default" w:ascii="Arial" w:hAnsi="Arial" w:cs="Arial" w:eastAsiaTheme="minorEastAsia"/>
          <w:sz w:val="22"/>
          <w:szCs w:val="22"/>
        </w:rPr>
      </w:pPr>
    </w:p>
    <w:p w14:paraId="75E1EFC6">
      <w:pPr>
        <w:rPr>
          <w:rFonts w:hint="default" w:ascii="Arial" w:hAnsi="Arial" w:cs="Arial" w:eastAsiaTheme="minorEastAsia"/>
          <w:b/>
          <w:bCs/>
          <w:color w:val="D20ADA"/>
          <w:kern w:val="2"/>
          <w:sz w:val="22"/>
          <w:szCs w:val="22"/>
          <w14:ligatures w14:val="standardContextual"/>
        </w:rPr>
      </w:pPr>
      <w:r>
        <w:rPr>
          <w:rFonts w:hint="default" w:ascii="Arial" w:hAnsi="Arial" w:cs="Arial" w:eastAsiaTheme="minorEastAsia"/>
          <w:b/>
          <w:color w:val="D20ADA"/>
          <w:kern w:val="2"/>
          <w:sz w:val="22"/>
          <w:szCs w:val="22"/>
          <w14:ligatures w14:val="standardContextual"/>
        </w:rPr>
        <w:t>[屏幕切换到 SAP Document AI 校验界面]</w:t>
      </w:r>
    </w:p>
    <w:p w14:paraId="472E1613">
      <w:pPr>
        <w:rPr>
          <w:rFonts w:hint="default" w:ascii="Arial" w:hAnsi="Arial" w:cs="Arial" w:eastAsiaTheme="minorEastAsia"/>
          <w:sz w:val="22"/>
          <w:szCs w:val="22"/>
        </w:rPr>
      </w:pPr>
    </w:p>
    <w:p w14:paraId="01841F23">
      <w:pPr>
        <w:rPr>
          <w:rFonts w:hint="default" w:ascii="Arial" w:hAnsi="Arial" w:cs="Arial" w:eastAsiaTheme="minorEastAsia"/>
        </w:rPr>
      </w:pPr>
    </w:p>
    <w:p w14:paraId="23408310">
      <w:pPr>
        <w:rPr>
          <w:rFonts w:hint="default" w:ascii="Arial" w:hAnsi="Arial" w:cs="Arial" w:eastAsiaTheme="minorEastAsia"/>
        </w:rPr>
      </w:pPr>
    </w:p>
    <w:p w14:paraId="54F70354">
      <w:pPr>
        <w:rPr>
          <w:rFonts w:hint="default" w:ascii="Arial" w:hAnsi="Arial" w:cs="Arial" w:eastAsiaTheme="minorEastAsia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1140" w:right="1140" w:bottom="1985" w:left="1140" w:header="851" w:footer="103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66E1D12-2408-4FD3-99EA-478DA9C92B1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1A3B54BE-0BA9-40AC-9CD8-FF3E69AF0B04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72 Brand">
    <w:panose1 w:val="020B0504030603020204"/>
    <w:charset w:val="00"/>
    <w:family w:val="swiss"/>
    <w:pitch w:val="default"/>
    <w:sig w:usb0="A00002FF" w:usb1="5000A05B" w:usb2="00000000" w:usb3="00000000" w:csb0="2000019F" w:csb1="00000000"/>
  </w:font>
  <w:font w:name="Times New Roman (Textkörper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72">
    <w:panose1 w:val="020B0503030000000003"/>
    <w:charset w:val="00"/>
    <w:family w:val="swiss"/>
    <w:pitch w:val="default"/>
    <w:sig w:usb0="A00002EF" w:usb1="5000205B" w:usb2="00000008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3" w:fontKey="{2A2AAE12-45AA-4480-B2B6-6A5661D1AA7B}"/>
  </w:font>
  <w:font w:name="HYFangSongJ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HYWenHei-55J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FZSJ-KAIT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32C2B22-F6A2-427D-B9D0-8FB3057C7587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-750657860"/>
      <w:docPartObj>
        <w:docPartGallery w:val="autotext"/>
      </w:docPartObj>
    </w:sdtPr>
    <w:sdtEndPr>
      <w:rPr>
        <w:rStyle w:val="9"/>
      </w:rPr>
    </w:sdtEndPr>
    <w:sdtContent>
      <w:p w14:paraId="7A91B015">
        <w:pPr>
          <w:pStyle w:val="4"/>
          <w:framePr w:wrap="auto" w:vAnchor="text" w:hAnchor="page" w:x="10629" w:y="124"/>
          <w:rPr>
            <w:rStyle w:val="9"/>
          </w:rPr>
        </w:pPr>
        <w:r>
          <w:rPr>
            <w:rStyle w:val="9"/>
            <w:color w:val="808080" w:themeColor="text1" w:themeTint="80"/>
            <w:sz w:val="18"/>
            <w:szCs w:val="22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fldChar w:fldCharType="begin"/>
        </w:r>
        <w:r>
          <w:rPr>
            <w:rStyle w:val="9"/>
            <w:color w:val="808080" w:themeColor="text1" w:themeTint="80"/>
            <w:sz w:val="18"/>
            <w:szCs w:val="22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instrText xml:space="preserve"> PAGE </w:instrText>
        </w:r>
        <w:r>
          <w:rPr>
            <w:rStyle w:val="9"/>
            <w:color w:val="808080" w:themeColor="text1" w:themeTint="80"/>
            <w:sz w:val="18"/>
            <w:szCs w:val="22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fldChar w:fldCharType="separate"/>
        </w:r>
        <w:r>
          <w:rPr>
            <w:rStyle w:val="9"/>
            <w:color w:val="808080" w:themeColor="text1" w:themeTint="80"/>
            <w:sz w:val="18"/>
            <w:szCs w:val="22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t>2</w:t>
        </w:r>
        <w:r>
          <w:rPr>
            <w:rStyle w:val="9"/>
            <w:color w:val="808080" w:themeColor="text1" w:themeTint="80"/>
            <w:sz w:val="18"/>
            <w:szCs w:val="22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fldChar w:fldCharType="end"/>
        </w:r>
      </w:p>
    </w:sdtContent>
  </w:sdt>
  <w:p w14:paraId="54E5B0E0">
    <w:pPr>
      <w:pStyle w:val="37"/>
      <w:ind w:right="360"/>
    </w:pPr>
    <w:r>
      <w:t xml:space="preserve">© 2024 SAP SE 或 SAP 关联公司。保留所有权利。有关本材料的使用条款、免责声明、披露或限制，请参见 </w:t>
    </w:r>
    <w:r>
      <w:fldChar w:fldCharType="begin"/>
    </w:r>
    <w:r>
      <w:instrText xml:space="preserve"> HYPERLINK "http://www.sap.com/legal-notice" \h </w:instrText>
    </w:r>
    <w:r>
      <w:fldChar w:fldCharType="separate"/>
    </w:r>
    <w:r>
      <w:rPr>
        <w:rStyle w:val="11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>www.sap.com/legal-notice</w:t>
    </w:r>
    <w:r>
      <w:rPr>
        <w:rStyle w:val="11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fldChar w:fldCharType="end"/>
    </w:r>
    <w:r>
      <w:t xml:space="preserve"> 上的法律声明。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197819909"/>
      <w:docPartObj>
        <w:docPartGallery w:val="autotext"/>
      </w:docPartObj>
    </w:sdtPr>
    <w:sdtEndPr>
      <w:rPr>
        <w:rStyle w:val="9"/>
      </w:rPr>
    </w:sdtEndPr>
    <w:sdtContent>
      <w:p w14:paraId="61AB8C33">
        <w:pPr>
          <w:pStyle w:val="4"/>
          <w:framePr w:wrap="auto" w:vAnchor="text" w:hAnchor="margin" w:xAlign="right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end"/>
        </w:r>
      </w:p>
    </w:sdtContent>
  </w:sdt>
  <w:p w14:paraId="279C2101">
    <w:pPr>
      <w:pStyle w:val="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1837C">
    <w:pPr>
      <w:pStyle w:val="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bottomMargin">
            <wp:posOffset>268605</wp:posOffset>
          </wp:positionV>
          <wp:extent cx="6253480" cy="302260"/>
          <wp:effectExtent l="0" t="0" r="0" b="2540"/>
          <wp:wrapNone/>
          <wp:docPr id="126314298" name="Grafik 126314298" descr="SAP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314298" name="Grafik 126314298" descr="SAP-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3200" cy="30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478A3"/>
    <w:multiLevelType w:val="singleLevel"/>
    <w:tmpl w:val="809478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C9B4057"/>
    <w:multiLevelType w:val="singleLevel"/>
    <w:tmpl w:val="8C9B405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2">
    <w:nsid w:val="B6F35DAE"/>
    <w:multiLevelType w:val="singleLevel"/>
    <w:tmpl w:val="B6F35D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DEE7F81"/>
    <w:multiLevelType w:val="singleLevel"/>
    <w:tmpl w:val="CDEE7F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AF43F3F"/>
    <w:multiLevelType w:val="singleLevel"/>
    <w:tmpl w:val="FAF43F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64012AD"/>
    <w:multiLevelType w:val="singleLevel"/>
    <w:tmpl w:val="064012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432F09B"/>
    <w:multiLevelType w:val="singleLevel"/>
    <w:tmpl w:val="1432F09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7">
    <w:nsid w:val="2067F35C"/>
    <w:multiLevelType w:val="singleLevel"/>
    <w:tmpl w:val="2067F3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18E837C"/>
    <w:multiLevelType w:val="singleLevel"/>
    <w:tmpl w:val="218E83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33BEE31"/>
    <w:multiLevelType w:val="singleLevel"/>
    <w:tmpl w:val="233BEE31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0">
    <w:nsid w:val="4A039748"/>
    <w:multiLevelType w:val="singleLevel"/>
    <w:tmpl w:val="4A0397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D0FCE4A"/>
    <w:multiLevelType w:val="singleLevel"/>
    <w:tmpl w:val="4D0FCE4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2">
    <w:nsid w:val="4D61253C"/>
    <w:multiLevelType w:val="singleLevel"/>
    <w:tmpl w:val="4D61253C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3">
    <w:nsid w:val="531C1CFC"/>
    <w:multiLevelType w:val="multilevel"/>
    <w:tmpl w:val="531C1C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17B7361"/>
    <w:multiLevelType w:val="singleLevel"/>
    <w:tmpl w:val="617B7361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3"/>
  </w:num>
  <w:num w:numId="9">
    <w:abstractNumId w:val="12"/>
  </w:num>
  <w:num w:numId="10">
    <w:abstractNumId w:val="6"/>
  </w:num>
  <w:num w:numId="11">
    <w:abstractNumId w:val="9"/>
  </w:num>
  <w:num w:numId="12">
    <w:abstractNumId w:val="14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14E63"/>
    <w:rsid w:val="0DCB4FB2"/>
    <w:rsid w:val="14012D8C"/>
    <w:rsid w:val="159B6F5F"/>
    <w:rsid w:val="20BF0CCE"/>
    <w:rsid w:val="278370C6"/>
    <w:rsid w:val="2A261D85"/>
    <w:rsid w:val="2E8157DC"/>
    <w:rsid w:val="2ED753FC"/>
    <w:rsid w:val="361862C1"/>
    <w:rsid w:val="3D791099"/>
    <w:rsid w:val="54324CFF"/>
    <w:rsid w:val="5BCB45A3"/>
    <w:rsid w:val="6A897D1D"/>
    <w:rsid w:val="713757FD"/>
    <w:rsid w:val="7B9F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72 Brand" w:hAnsi="72 Brand" w:eastAsiaTheme="minorHAnsi" w:cstheme="minorBidi"/>
      <w:kern w:val="2"/>
      <w:sz w:val="20"/>
      <w:szCs w:val="24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b/>
      <w:color w:val="4874CB" w:themeColor="accent1"/>
      <w:sz w:val="44"/>
      <w:szCs w:val="40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4">
    <w:name w:val="footer"/>
    <w:basedOn w:val="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Subtitle"/>
    <w:basedOn w:val="1"/>
    <w:next w:val="1"/>
    <w:qFormat/>
    <w:uiPriority w:val="11"/>
    <w:pPr>
      <w:spacing w:after="160"/>
    </w:pPr>
    <w:rPr>
      <w:rFonts w:eastAsiaTheme="majorEastAsia" w:cstheme="majorBidi"/>
      <w:b/>
      <w:color w:val="4874CB" w:themeColor="accent1"/>
      <w:spacing w:val="15"/>
      <w:sz w:val="36"/>
      <w:szCs w:val="28"/>
      <w14:textFill>
        <w14:solidFill>
          <w14:schemeClr w14:val="accent1"/>
        </w14:solidFill>
      </w14:textFill>
    </w:rPr>
  </w:style>
  <w:style w:type="table" w:styleId="7">
    <w:name w:val="Table Grid"/>
    <w:basedOn w:val="6"/>
    <w:qFormat/>
    <w:uiPriority w:val="39"/>
    <w:rPr>
      <w:rFonts w:eastAsiaTheme="minorEastAsia"/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unhideWhenUsed/>
    <w:qFormat/>
    <w:uiPriority w:val="99"/>
  </w:style>
  <w:style w:type="character" w:styleId="10">
    <w:name w:val="FollowedHyperlink"/>
    <w:basedOn w:val="8"/>
    <w:semiHidden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customStyle="1" w:styleId="13">
    <w:name w:val="ConfidentialStatus"/>
    <w:basedOn w:val="1"/>
    <w:next w:val="1"/>
    <w:qFormat/>
    <w:uiPriority w:val="0"/>
    <w:pPr>
      <w:spacing w:before="240" w:after="320"/>
    </w:pPr>
    <w:rPr>
      <w:rFonts w:cs="Times New Roman (Textkörper CS)"/>
      <w:caps/>
      <w:color w:val="000000" w:themeColor="text1"/>
      <w:spacing w:val="10"/>
      <w:kern w:val="0"/>
      <w:szCs w:val="22"/>
      <w14:textFill>
        <w14:solidFill>
          <w14:schemeClr w14:val="tx1"/>
        </w14:solidFill>
      </w14:textFill>
      <w14:ligatures w14:val="none"/>
    </w:rPr>
  </w:style>
  <w:style w:type="paragraph" w:customStyle="1" w:styleId="14">
    <w:name w:val="P68B1DB1-Subtitle1"/>
    <w:basedOn w:val="5"/>
    <w:qFormat/>
    <w:uiPriority w:val="0"/>
    <w:rPr>
      <w:rFonts w:cstheme="minorBidi"/>
    </w:rPr>
  </w:style>
  <w:style w:type="paragraph" w:customStyle="1" w:styleId="15">
    <w:name w:val="P68B1DB1-Normal6"/>
    <w:basedOn w:val="1"/>
    <w:qFormat/>
    <w:uiPriority w:val="0"/>
    <w:rPr>
      <w:b/>
      <w:sz w:val="22"/>
      <w:szCs w:val="22"/>
    </w:rPr>
  </w:style>
  <w:style w:type="paragraph" w:customStyle="1" w:styleId="16">
    <w:name w:val="P68B1DB1-Normal7"/>
    <w:basedOn w:val="1"/>
    <w:qFormat/>
    <w:uiPriority w:val="0"/>
    <w:rPr>
      <w:rFonts w:ascii="72" w:hAnsi="72" w:eastAsia="72" w:cs="72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P68B1DB1-ListParagraph8"/>
    <w:basedOn w:val="17"/>
    <w:qFormat/>
    <w:uiPriority w:val="0"/>
    <w:rPr>
      <w:rFonts w:ascii="72" w:hAnsi="72" w:eastAsia="72" w:cs="72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19">
    <w:name w:val="P68B1DB1-Normal3"/>
    <w:basedOn w:val="1"/>
    <w:qFormat/>
    <w:uiPriority w:val="0"/>
    <w:rPr>
      <w:sz w:val="22"/>
      <w:szCs w:val="22"/>
    </w:rPr>
  </w:style>
  <w:style w:type="paragraph" w:customStyle="1" w:styleId="20">
    <w:name w:val="P68B1DB1-ListParagraph11"/>
    <w:basedOn w:val="17"/>
    <w:qFormat/>
    <w:uiPriority w:val="0"/>
    <w:rPr>
      <w:kern w:val="0"/>
      <w:sz w:val="22"/>
      <w:szCs w:val="22"/>
      <w14:ligatures w14:val="none"/>
    </w:rPr>
  </w:style>
  <w:style w:type="paragraph" w:customStyle="1" w:styleId="21">
    <w:name w:val="P68B1DB1-Normal12"/>
    <w:basedOn w:val="1"/>
    <w:qFormat/>
    <w:uiPriority w:val="0"/>
    <w:rPr>
      <w:rFonts w:eastAsia="Times New Roman" w:cs="Times New Roman"/>
      <w:b/>
      <w:kern w:val="0"/>
      <w:sz w:val="22"/>
      <w:szCs w:val="22"/>
      <w14:ligatures w14:val="none"/>
    </w:rPr>
  </w:style>
  <w:style w:type="paragraph" w:customStyle="1" w:styleId="22">
    <w:name w:val="P68B1DB1-ListParagraph13"/>
    <w:basedOn w:val="17"/>
    <w:qFormat/>
    <w:uiPriority w:val="0"/>
    <w:rPr>
      <w:rFonts w:eastAsia="Times New Roman" w:cs="Times New Roman"/>
      <w:kern w:val="0"/>
      <w:sz w:val="22"/>
      <w:szCs w:val="22"/>
      <w14:ligatures w14:val="none"/>
    </w:rPr>
  </w:style>
  <w:style w:type="paragraph" w:customStyle="1" w:styleId="23">
    <w:name w:val="P68B1DB1-Normal14"/>
    <w:basedOn w:val="1"/>
    <w:qFormat/>
    <w:uiPriority w:val="0"/>
    <w:rPr>
      <w:rFonts w:cs="Calibri" w:eastAsiaTheme="majorEastAsia"/>
      <w:b/>
      <w:color w:val="FFFFFF" w:themeColor="background1"/>
      <w:sz w:val="22"/>
      <w:szCs w:val="22"/>
      <w14:textFill>
        <w14:solidFill>
          <w14:schemeClr w14:val="bg1"/>
        </w14:solidFill>
      </w14:textFill>
    </w:rPr>
  </w:style>
  <w:style w:type="paragraph" w:customStyle="1" w:styleId="24">
    <w:name w:val="P68B1DB1-Normal15"/>
    <w:basedOn w:val="1"/>
    <w:qFormat/>
    <w:uiPriority w:val="0"/>
    <w:rPr>
      <w:rFonts w:cs="Calibri"/>
      <w:b/>
      <w:color w:val="000000" w:themeColor="text1"/>
      <w:szCs w:val="20"/>
      <w14:textFill>
        <w14:solidFill>
          <w14:schemeClr w14:val="tx1"/>
        </w14:solidFill>
      </w14:textFill>
    </w:rPr>
  </w:style>
  <w:style w:type="paragraph" w:customStyle="1" w:styleId="25">
    <w:name w:val="P68B1DB1-Normal16"/>
    <w:basedOn w:val="1"/>
    <w:qFormat/>
    <w:uiPriority w:val="0"/>
    <w:rPr>
      <w:rFonts w:cs="Calibri"/>
      <w:color w:val="000000" w:themeColor="text1"/>
      <w:szCs w:val="20"/>
      <w14:textFill>
        <w14:solidFill>
          <w14:schemeClr w14:val="tx1"/>
        </w14:solidFill>
      </w14:textFill>
    </w:rPr>
  </w:style>
  <w:style w:type="paragraph" w:customStyle="1" w:styleId="26">
    <w:name w:val="P68B1DB1-Normal17"/>
    <w:basedOn w:val="1"/>
    <w:qFormat/>
    <w:uiPriority w:val="0"/>
    <w:rPr>
      <w:rFonts w:ascii="72" w:hAnsi="72" w:eastAsia="Times New Roman" w:cs="72"/>
      <w:color w:val="1D2D3E"/>
      <w:sz w:val="18"/>
      <w:szCs w:val="22"/>
      <w:shd w:val="clear" w:color="auto" w:fill="FFFFFF"/>
    </w:rPr>
  </w:style>
  <w:style w:type="paragraph" w:customStyle="1" w:styleId="27">
    <w:name w:val="P68B1DB1-Normal18"/>
    <w:basedOn w:val="1"/>
    <w:qFormat/>
    <w:uiPriority w:val="0"/>
    <w:rPr>
      <w:rFonts w:cs="Calibri" w:eastAsiaTheme="majorEastAsia"/>
      <w:sz w:val="22"/>
      <w:szCs w:val="22"/>
    </w:rPr>
  </w:style>
  <w:style w:type="paragraph" w:customStyle="1" w:styleId="28">
    <w:name w:val="P68B1DB1-Normal19"/>
    <w:basedOn w:val="1"/>
    <w:qFormat/>
    <w:uiPriority w:val="0"/>
    <w:rPr>
      <w:rFonts w:ascii="72" w:hAnsi="72" w:eastAsia="Times New Roman" w:cs="72"/>
      <w:color w:val="1D2D3E"/>
      <w:sz w:val="18"/>
      <w:szCs w:val="18"/>
      <w:shd w:val="clear" w:color="auto" w:fill="FFFFFF"/>
    </w:rPr>
  </w:style>
  <w:style w:type="paragraph" w:customStyle="1" w:styleId="29">
    <w:name w:val="P68B1DB1-Normal20"/>
    <w:basedOn w:val="1"/>
    <w:qFormat/>
    <w:uiPriority w:val="0"/>
    <w:rPr>
      <w:color w:val="1D2D3E"/>
      <w:sz w:val="18"/>
      <w:szCs w:val="18"/>
      <w:shd w:val="clear" w:color="auto" w:fill="FFFFFF"/>
    </w:rPr>
  </w:style>
  <w:style w:type="paragraph" w:customStyle="1" w:styleId="30">
    <w:name w:val="P68B1DB1-Normal21"/>
    <w:basedOn w:val="1"/>
    <w:qFormat/>
    <w:uiPriority w:val="0"/>
    <w:rPr>
      <w:rFonts w:ascii="72" w:hAnsi="72" w:eastAsia="Times New Roman" w:cs="72"/>
      <w:color w:val="1D2D3E"/>
      <w:shd w:val="clear" w:color="auto" w:fill="FFFFFF"/>
    </w:rPr>
  </w:style>
  <w:style w:type="paragraph" w:customStyle="1" w:styleId="31">
    <w:name w:val="P68B1DB1-Normal22"/>
    <w:basedOn w:val="1"/>
    <w:qFormat/>
    <w:uiPriority w:val="0"/>
    <w:rPr>
      <w:rFonts w:ascii="72" w:hAnsi="72" w:eastAsia="Times New Roman" w:cs="72"/>
      <w:color w:val="1D2D3E"/>
      <w:sz w:val="18"/>
      <w:szCs w:val="18"/>
    </w:rPr>
  </w:style>
  <w:style w:type="paragraph" w:customStyle="1" w:styleId="32">
    <w:name w:val="P68B1DB1-Normal23"/>
    <w:basedOn w:val="1"/>
    <w:qFormat/>
    <w:uiPriority w:val="0"/>
    <w:rPr>
      <w:rFonts w:ascii="72" w:hAnsi="72" w:eastAsia="Times New Roman" w:cs="72"/>
      <w:sz w:val="18"/>
      <w:szCs w:val="18"/>
      <w:shd w:val="clear" w:color="auto" w:fill="FFFFFF"/>
    </w:rPr>
  </w:style>
  <w:style w:type="paragraph" w:customStyle="1" w:styleId="33">
    <w:name w:val="P68B1DB1-Normal24"/>
    <w:basedOn w:val="1"/>
    <w:qFormat/>
    <w:uiPriority w:val="0"/>
    <w:rPr>
      <w:b/>
      <w:sz w:val="28"/>
      <w:szCs w:val="36"/>
    </w:rPr>
  </w:style>
  <w:style w:type="paragraph" w:customStyle="1" w:styleId="34">
    <w:name w:val="P68B1DB1-Normal25"/>
    <w:basedOn w:val="1"/>
    <w:qFormat/>
    <w:uiPriority w:val="0"/>
    <w:rPr>
      <w:rFonts w:cs="Calibri" w:eastAsiaTheme="majorEastAsia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35">
    <w:name w:val="P68B1DB1-Normal26"/>
    <w:basedOn w:val="1"/>
    <w:qFormat/>
    <w:uiPriority w:val="0"/>
    <w:rPr>
      <w:rFonts w:cs="Calibri" w:eastAsiaTheme="majorEastAsia"/>
      <w:b/>
      <w:color w:val="E54C5E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36">
    <w:name w:val="Mention"/>
    <w:basedOn w:val="8"/>
    <w:unhideWhenUsed/>
    <w:qFormat/>
    <w:uiPriority w:val="99"/>
    <w:rPr>
      <w:color w:val="2B579A"/>
      <w:shd w:val="clear" w:color="auto" w:fill="E1DFDD"/>
    </w:rPr>
  </w:style>
  <w:style w:type="paragraph" w:customStyle="1" w:styleId="37">
    <w:name w:val="Copyright/Trademark long"/>
    <w:qFormat/>
    <w:uiPriority w:val="0"/>
    <w:pPr>
      <w:shd w:val="clear" w:color="auto" w:fill="FFFFFF"/>
      <w:spacing w:before="190" w:after="60"/>
    </w:pPr>
    <w:rPr>
      <w:rFonts w:cs="Arial" w:asciiTheme="minorHAnsi" w:hAnsiTheme="minorHAnsi" w:eastAsiaTheme="minorHAnsi"/>
      <w:color w:val="808080" w:themeColor="text1" w:themeTint="80"/>
      <w:kern w:val="0"/>
      <w:sz w:val="9"/>
      <w:szCs w:val="9"/>
      <w14:textFill>
        <w14:solidFill>
          <w14:schemeClr w14:val="tx1">
            <w14:lumMod w14:val="50000"/>
            <w14:lumOff w14:val="50000"/>
          </w14:schemeClr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emf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2025-11-04T03:28:22Z</dcterms:created>
  <dc:creator>I759376</dc:creator>
  <cp:lastModifiedBy>桑生豪</cp:lastModifiedBy>
  <dcterms:modified xsi:type="dcterms:W3CDTF">2025-11-04T10:48:59Z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eyJoZGlkIjoiZTZhNmU5NDUxMThhY2NhNWU1MzE5NDZjNzhhZTllZTUiLCJ1c2VySWQiOiIzNDUzMTM3MjgifQ==</vt:lpwstr>
  </property>
  <property fmtid="{D5CDD505-2E9C-101B-9397-08002B2CF9AE}" pid="4" name="ICV">
    <vt:lpwstr>B6C06115067348C5AA179518F43884F2_12</vt:lpwstr>
  </property>
</Properties>
</file>