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B32975">
      <w:pPr>
        <w:pStyle w:val="31"/>
        <w:jc w:val="center"/>
      </w:pPr>
      <w:r>
        <w:rPr>
          <w:rFonts w:hint="eastAsia" w:ascii="微软雅黑" w:hAnsi="微软雅黑" w:eastAsia="微软雅黑" w:cs="微软雅黑"/>
          <w:b/>
          <w:color w:val="000000"/>
          <w:sz w:val="38"/>
        </w:rPr>
        <w:t>3D IC 全局布线评分程序评价标准说明</w:t>
      </w:r>
    </w:p>
    <w:p w14:paraId="05A2D9CE">
      <w:pPr>
        <w:pStyle w:val="3"/>
        <w:spacing w:before="280" w:after="100" w:line="288" w:lineRule="auto"/>
      </w:pPr>
      <w:r>
        <w:rPr>
          <w:rFonts w:hint="eastAsia" w:ascii="微软雅黑" w:hAnsi="微软雅黑" w:eastAsia="微软雅黑" w:cs="微软雅黑"/>
          <w:b/>
          <w:color w:val="000000"/>
          <w:sz w:val="29"/>
        </w:rPr>
        <w:t>一、评分总览</w:t>
      </w:r>
    </w:p>
    <w:p w14:paraId="2B7DED84">
      <w:pPr>
        <w:spacing w:before="0" w:after="120" w:line="324" w:lineRule="auto"/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赛题按四个评分项合成最终成绩，其中 S1 与 S4 是一票否决项：</w:t>
      </w:r>
    </w:p>
    <w:p w14:paraId="51DC39EC">
      <w:pPr>
        <w:spacing w:before="40" w:after="80" w:line="276" w:lineRule="auto"/>
        <w:jc w:val="center"/>
      </w:pPr>
      <w:r>
        <w:rPr>
          <w:rFonts w:ascii="Consolas" w:hAnsi="Consolas" w:eastAsia="Consolas" w:cs="Consolas"/>
          <w:b w:val="0"/>
          <w:color w:val="000000"/>
          <w:sz w:val="20"/>
        </w:rPr>
        <w:t>Score = S1 x (S2 + S3) x S4</w:t>
      </w:r>
    </w:p>
    <w:p w14:paraId="4A65D1A5">
      <w:pPr>
        <w:spacing w:before="0" w:after="120" w:line="324" w:lineRule="auto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S1 与 S4 各自满分为 1 分，只要违反对应规则即记 0 分，最终成绩随之变为 0。</w:t>
      </w:r>
    </w:p>
    <w:p w14:paraId="5F333B82">
      <w:pPr>
        <w:spacing w:before="0" w:after="120" w:line="324" w:lineRule="auto"/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S2 与 S3 是优化质量分，公开用例与隐藏用例分别按 30 分与 70 分满分，由赛题按名次统一折算。评分程序负责给出合法性结论与三项指标的得分，名次折算由赛题组织方完成。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324"/>
        <w:gridCol w:w="2324"/>
        <w:gridCol w:w="2324"/>
        <w:gridCol w:w="2324"/>
      </w:tblGrid>
      <w:tr w14:paraId="44DD7EE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3864"/>
            <w:vAlign w:val="center"/>
          </w:tcPr>
          <w:p w14:paraId="63749C23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评分项</w:t>
            </w:r>
          </w:p>
        </w:tc>
        <w:tc>
          <w:tcPr>
            <w:tcW w:w="1417" w:type="dxa"/>
            <w:shd w:val="clear" w:color="auto" w:fill="1F3864"/>
            <w:vAlign w:val="center"/>
          </w:tcPr>
          <w:p w14:paraId="46FAA94A">
            <w:pPr>
              <w:spacing w:before="40" w:after="40" w:line="288" w:lineRule="auto"/>
              <w:jc w:val="center"/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满分或权重</w:t>
            </w:r>
          </w:p>
        </w:tc>
        <w:tc>
          <w:tcPr>
            <w:tcW w:w="4082" w:type="dxa"/>
            <w:shd w:val="clear" w:color="auto" w:fill="1F3864"/>
            <w:vAlign w:val="center"/>
          </w:tcPr>
          <w:p w14:paraId="02E053BB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判定内容</w:t>
            </w:r>
          </w:p>
        </w:tc>
        <w:tc>
          <w:tcPr>
            <w:tcW w:w="1531" w:type="dxa"/>
            <w:shd w:val="clear" w:color="auto" w:fill="1F3864"/>
            <w:vAlign w:val="center"/>
          </w:tcPr>
          <w:p w14:paraId="694ED2A7">
            <w:pPr>
              <w:spacing w:before="40" w:after="40" w:line="288" w:lineRule="auto"/>
              <w:jc w:val="center"/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是否一票否决</w:t>
            </w:r>
          </w:p>
        </w:tc>
      </w:tr>
      <w:tr w14:paraId="5339C73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4A93E62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S1 合法性检查</w:t>
            </w:r>
          </w:p>
        </w:tc>
        <w:tc>
          <w:tcPr>
            <w:tcW w:w="1417" w:type="dxa"/>
            <w:vAlign w:val="center"/>
          </w:tcPr>
          <w:p w14:paraId="399845A1">
            <w:pPr>
              <w:spacing w:before="40" w:after="40" w:line="288" w:lineRule="auto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1 分</w:t>
            </w:r>
          </w:p>
        </w:tc>
        <w:tc>
          <w:tcPr>
            <w:tcW w:w="4082" w:type="dxa"/>
            <w:vAlign w:val="center"/>
          </w:tcPr>
          <w:p w14:paraId="7DAD3931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连接性、布线区域、LEF 规则、输出格式</w:t>
            </w:r>
          </w:p>
        </w:tc>
        <w:tc>
          <w:tcPr>
            <w:tcW w:w="1531" w:type="dxa"/>
            <w:vAlign w:val="center"/>
          </w:tcPr>
          <w:p w14:paraId="25921FFC">
            <w:pPr>
              <w:spacing w:before="40" w:after="40" w:line="288" w:lineRule="auto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是</w:t>
            </w:r>
          </w:p>
        </w:tc>
      </w:tr>
      <w:tr w14:paraId="70B11E8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2268" w:type="dxa"/>
            <w:shd w:val="clear" w:color="auto" w:fill="EEF2F8"/>
            <w:vAlign w:val="center"/>
          </w:tcPr>
          <w:p w14:paraId="499BA637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S2 优化质量（公开用例）</w:t>
            </w:r>
          </w:p>
        </w:tc>
        <w:tc>
          <w:tcPr>
            <w:tcW w:w="1417" w:type="dxa"/>
            <w:shd w:val="clear" w:color="auto" w:fill="EEF2F8"/>
            <w:vAlign w:val="center"/>
          </w:tcPr>
          <w:p w14:paraId="126C02EF">
            <w:pPr>
              <w:spacing w:before="40" w:after="40" w:line="288" w:lineRule="auto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30 分</w:t>
            </w:r>
          </w:p>
        </w:tc>
        <w:tc>
          <w:tcPr>
            <w:tcW w:w="4082" w:type="dxa"/>
            <w:shd w:val="clear" w:color="auto" w:fill="EEF2F8"/>
            <w:vAlign w:val="center"/>
          </w:tcPr>
          <w:p w14:paraId="054035F0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线长 45%，拥塞 30%，热优化 25%</w:t>
            </w:r>
          </w:p>
        </w:tc>
        <w:tc>
          <w:tcPr>
            <w:tcW w:w="1531" w:type="dxa"/>
            <w:shd w:val="clear" w:color="auto" w:fill="EEF2F8"/>
            <w:vAlign w:val="center"/>
          </w:tcPr>
          <w:p w14:paraId="17004B78">
            <w:pPr>
              <w:spacing w:before="40" w:after="40" w:line="288" w:lineRule="auto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否</w:t>
            </w:r>
          </w:p>
        </w:tc>
      </w:tr>
      <w:tr w14:paraId="58C5C49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3A664E4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S3 优化质量（隐藏用例）</w:t>
            </w:r>
          </w:p>
        </w:tc>
        <w:tc>
          <w:tcPr>
            <w:tcW w:w="1417" w:type="dxa"/>
            <w:vAlign w:val="center"/>
          </w:tcPr>
          <w:p w14:paraId="59CCB923">
            <w:pPr>
              <w:spacing w:before="40" w:after="40" w:line="288" w:lineRule="auto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70 分</w:t>
            </w:r>
          </w:p>
        </w:tc>
        <w:tc>
          <w:tcPr>
            <w:tcW w:w="4082" w:type="dxa"/>
            <w:vAlign w:val="center"/>
          </w:tcPr>
          <w:p w14:paraId="042A8BFD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线长 45%，拥塞 30%，热优化 25%</w:t>
            </w:r>
          </w:p>
        </w:tc>
        <w:tc>
          <w:tcPr>
            <w:tcW w:w="1531" w:type="dxa"/>
            <w:vAlign w:val="center"/>
          </w:tcPr>
          <w:p w14:paraId="59086F96">
            <w:pPr>
              <w:spacing w:before="40" w:after="40" w:line="288" w:lineRule="auto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否</w:t>
            </w:r>
          </w:p>
        </w:tc>
      </w:tr>
      <w:tr w14:paraId="46CA9CA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2268" w:type="dxa"/>
            <w:shd w:val="clear" w:color="auto" w:fill="EEF2F8"/>
            <w:vAlign w:val="center"/>
          </w:tcPr>
          <w:p w14:paraId="5116CC69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S4 运行效率</w:t>
            </w:r>
          </w:p>
        </w:tc>
        <w:tc>
          <w:tcPr>
            <w:tcW w:w="1417" w:type="dxa"/>
            <w:shd w:val="clear" w:color="auto" w:fill="EEF2F8"/>
            <w:vAlign w:val="center"/>
          </w:tcPr>
          <w:p w14:paraId="569E0C57">
            <w:pPr>
              <w:spacing w:before="40" w:after="40" w:line="288" w:lineRule="auto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1 分</w:t>
            </w:r>
          </w:p>
        </w:tc>
        <w:tc>
          <w:tcPr>
            <w:tcW w:w="4082" w:type="dxa"/>
            <w:shd w:val="clear" w:color="auto" w:fill="EEF2F8"/>
            <w:vAlign w:val="center"/>
          </w:tcPr>
          <w:p w14:paraId="514792CA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单用例运行时间与峰值内存</w:t>
            </w:r>
          </w:p>
        </w:tc>
        <w:tc>
          <w:tcPr>
            <w:tcW w:w="1531" w:type="dxa"/>
            <w:shd w:val="clear" w:color="auto" w:fill="EEF2F8"/>
            <w:vAlign w:val="center"/>
          </w:tcPr>
          <w:p w14:paraId="75EB8422">
            <w:pPr>
              <w:spacing w:before="40" w:after="40" w:line="288" w:lineRule="auto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是</w:t>
            </w:r>
          </w:p>
        </w:tc>
      </w:tr>
    </w:tbl>
    <w:p w14:paraId="205D7D73">
      <w:pPr>
        <w:pStyle w:val="3"/>
        <w:spacing w:before="280" w:after="100" w:line="288" w:lineRule="auto"/>
      </w:pPr>
      <w:r>
        <w:rPr>
          <w:rFonts w:hint="eastAsia" w:ascii="微软雅黑" w:hAnsi="微软雅黑" w:eastAsia="微软雅黑" w:cs="微软雅黑"/>
          <w:b/>
          <w:color w:val="000000"/>
          <w:sz w:val="29"/>
        </w:rPr>
        <w:t>二、合法性检查</w:t>
      </w:r>
    </w:p>
    <w:p w14:paraId="416485F1">
      <w:pPr>
        <w:spacing w:before="0" w:after="120" w:line="324" w:lineRule="auto"/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合法性检查对应 S1，共四条规则。任意一条不满足，S1 记 0 分，最终成绩为 0。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713"/>
        <w:gridCol w:w="4388"/>
        <w:gridCol w:w="2196"/>
      </w:tblGrid>
      <w:tr w14:paraId="67ECFDB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tblHeader/>
          <w:jc w:val="center"/>
        </w:trPr>
        <w:tc>
          <w:tcPr>
            <w:tcW w:w="2713" w:type="dxa"/>
            <w:shd w:val="clear" w:color="auto" w:fill="1F3864"/>
            <w:vAlign w:val="center"/>
          </w:tcPr>
          <w:p w14:paraId="5BB4377E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检查项</w:t>
            </w:r>
          </w:p>
        </w:tc>
        <w:tc>
          <w:tcPr>
            <w:tcW w:w="4388" w:type="dxa"/>
            <w:shd w:val="clear" w:color="auto" w:fill="1F3864"/>
            <w:vAlign w:val="center"/>
          </w:tcPr>
          <w:p w14:paraId="0624DA49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程序判定口径</w:t>
            </w:r>
          </w:p>
        </w:tc>
        <w:tc>
          <w:tcPr>
            <w:tcW w:w="2196" w:type="dxa"/>
            <w:shd w:val="clear" w:color="auto" w:fill="1F3864"/>
            <w:vAlign w:val="center"/>
          </w:tcPr>
          <w:p w14:paraId="09D7F0DA">
            <w:pPr>
              <w:spacing w:before="40" w:after="40" w:line="288" w:lineRule="auto"/>
              <w:jc w:val="center"/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违规结论</w:t>
            </w:r>
          </w:p>
        </w:tc>
      </w:tr>
      <w:tr w14:paraId="6FC676B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2713" w:type="dxa"/>
            <w:vAlign w:val="center"/>
          </w:tcPr>
          <w:p w14:paraId="2E6139A4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所有 DEF 定义的 Net 均完成连接</w:t>
            </w:r>
          </w:p>
        </w:tc>
        <w:tc>
          <w:tcPr>
            <w:tcW w:w="4388" w:type="dxa"/>
            <w:vAlign w:val="center"/>
          </w:tcPr>
          <w:p w14:paraId="238FF51A">
            <w:pPr>
              <w:spacing w:before="40" w:after="40" w:line="288" w:lineRule="auto"/>
              <w:jc w:val="left"/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为每个 net 建立布线矩形的连通图，并检查最小生成树能否覆盖全部矩形；</w:t>
            </w:r>
          </w:p>
          <w:p w14:paraId="791C44A0">
            <w:pPr>
              <w:spacing w:before="40" w:after="40" w:line="288" w:lineRule="auto"/>
              <w:jc w:val="left"/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每个引脚必须被同层矩形覆盖；</w:t>
            </w:r>
          </w:p>
          <w:p w14:paraId="00D51336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GUIDE 中不得出现 DEF 未定义的 net</w:t>
            </w:r>
          </w:p>
        </w:tc>
        <w:tc>
          <w:tcPr>
            <w:tcW w:w="2196" w:type="dxa"/>
            <w:vAlign w:val="center"/>
          </w:tcPr>
          <w:p w14:paraId="6E411C05"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S1 = 0</w:t>
            </w:r>
          </w:p>
        </w:tc>
      </w:tr>
      <w:tr w14:paraId="0F92F70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2713" w:type="dxa"/>
            <w:shd w:val="clear" w:color="auto" w:fill="EEF2F8"/>
            <w:vAlign w:val="center"/>
          </w:tcPr>
          <w:p w14:paraId="19C1109E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布线区域没有超出范围</w:t>
            </w:r>
          </w:p>
        </w:tc>
        <w:tc>
          <w:tcPr>
            <w:tcW w:w="4388" w:type="dxa"/>
            <w:shd w:val="clear" w:color="auto" w:fill="EEF2F8"/>
            <w:vAlign w:val="center"/>
          </w:tcPr>
          <w:p w14:paraId="6E7A00CF">
            <w:pPr>
              <w:spacing w:before="40" w:after="40" w:line="288" w:lineRule="auto"/>
              <w:jc w:val="left"/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每个布线矩形都必须与 DEF 的 DIEAREA 有重叠；</w:t>
            </w:r>
          </w:p>
          <w:p w14:paraId="303D8E9D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完全落在 DIEAREA 之外的矩形判为越界</w:t>
            </w:r>
          </w:p>
        </w:tc>
        <w:tc>
          <w:tcPr>
            <w:tcW w:w="2196" w:type="dxa"/>
            <w:shd w:val="clear" w:color="auto" w:fill="EEF2F8"/>
            <w:vAlign w:val="center"/>
          </w:tcPr>
          <w:p w14:paraId="4C873089"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S1 = 0</w:t>
            </w:r>
          </w:p>
        </w:tc>
      </w:tr>
      <w:tr w14:paraId="4B0890E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2713" w:type="dxa"/>
            <w:vAlign w:val="center"/>
          </w:tcPr>
          <w:p w14:paraId="750CBD06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满足 LEF 中定义的设计规则</w:t>
            </w:r>
          </w:p>
        </w:tc>
        <w:tc>
          <w:tcPr>
            <w:tcW w:w="4388" w:type="dxa"/>
            <w:vAlign w:val="center"/>
          </w:tcPr>
          <w:p w14:paraId="7D2448E3">
            <w:pPr>
              <w:spacing w:before="40" w:after="40" w:line="288" w:lineRule="auto"/>
              <w:jc w:val="left"/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布线用到的层必须已在 LEF 中声明为 Routing 层；</w:t>
            </w:r>
          </w:p>
          <w:p w14:paraId="3830F888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跨 Die 的层使用必须符合金属层归属，并满足跨 Die net 的 TSV 规则（见 2.2）</w:t>
            </w:r>
          </w:p>
        </w:tc>
        <w:tc>
          <w:tcPr>
            <w:tcW w:w="2196" w:type="dxa"/>
            <w:vAlign w:val="center"/>
          </w:tcPr>
          <w:p w14:paraId="28A798A1"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S1 = 0</w:t>
            </w:r>
          </w:p>
        </w:tc>
      </w:tr>
      <w:tr w14:paraId="4DC78E0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2713" w:type="dxa"/>
            <w:shd w:val="clear" w:color="auto" w:fill="EEF2F8"/>
            <w:vAlign w:val="center"/>
          </w:tcPr>
          <w:p w14:paraId="7543C87B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输出文件格式正确</w:t>
            </w:r>
          </w:p>
        </w:tc>
        <w:tc>
          <w:tcPr>
            <w:tcW w:w="4388" w:type="dxa"/>
            <w:shd w:val="clear" w:color="auto" w:fill="EEF2F8"/>
            <w:vAlign w:val="center"/>
          </w:tcPr>
          <w:p w14:paraId="74903A5D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GUIDE 必须能按“net 名称加矩形坐标与层”的格式解析</w:t>
            </w:r>
          </w:p>
        </w:tc>
        <w:tc>
          <w:tcPr>
            <w:tcW w:w="2196" w:type="dxa"/>
            <w:shd w:val="clear" w:color="auto" w:fill="EEF2F8"/>
            <w:vAlign w:val="center"/>
          </w:tcPr>
          <w:p w14:paraId="61E07684"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S1 = 0</w:t>
            </w:r>
          </w:p>
        </w:tc>
      </w:tr>
    </w:tbl>
    <w:p w14:paraId="595E99F0">
      <w:pPr>
        <w:pStyle w:val="4"/>
        <w:spacing w:before="200" w:after="60" w:line="288" w:lineRule="auto"/>
      </w:pPr>
      <w:r>
        <w:rPr>
          <w:rFonts w:hint="eastAsia" w:ascii="微软雅黑" w:hAnsi="微软雅黑" w:eastAsia="微软雅黑" w:cs="微软雅黑"/>
          <w:b/>
          <w:color w:val="000000"/>
          <w:sz w:val="23"/>
        </w:rPr>
        <w:t>2.1 矩形连通判定</w:t>
      </w:r>
    </w:p>
    <w:p w14:paraId="10D18FDD">
      <w:pPr>
        <w:spacing w:before="0" w:after="120" w:line="324" w:lineRule="auto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两个布线矩形被认为连通的条件是：</w:t>
      </w:r>
    </w:p>
    <w:p w14:paraId="0DCB429F">
      <w:pPr>
        <w:spacing w:before="0" w:after="120" w:line="324" w:lineRule="auto"/>
        <w:ind w:firstLine="720" w:firstLineChars="0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层号都在 Metal1 到 Metal20 之间；</w:t>
      </w:r>
    </w:p>
    <w:p w14:paraId="04BAD2CA">
      <w:pPr>
        <w:spacing w:before="0" w:after="120" w:line="324" w:lineRule="auto"/>
        <w:ind w:firstLine="720" w:firstLineChars="0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同层矩形在 X 或 Y 方向相接或有重叠；</w:t>
      </w:r>
    </w:p>
    <w:p w14:paraId="75570161">
      <w:pPr>
        <w:spacing w:before="0" w:after="120" w:line="324" w:lineRule="auto"/>
        <w:ind w:firstLine="720" w:firstLineChars="0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相邻层矩形在平面上真正重叠；</w:t>
      </w:r>
    </w:p>
    <w:p w14:paraId="005CF16F">
      <w:pPr>
        <w:spacing w:before="0" w:after="120" w:line="324" w:lineRule="auto"/>
        <w:ind w:firstLine="720" w:firstLineChars="0"/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同一 net 的全部矩形必须通过这些关系连成一体，且每个引脚必须与同层矩形落在同一位置范围内。</w:t>
      </w:r>
    </w:p>
    <w:p w14:paraId="7D04063A">
      <w:pPr>
        <w:pStyle w:val="4"/>
        <w:spacing w:before="200" w:after="60" w:line="288" w:lineRule="auto"/>
      </w:pPr>
      <w:r>
        <w:rPr>
          <w:rFonts w:hint="eastAsia" w:ascii="微软雅黑" w:hAnsi="微软雅黑" w:eastAsia="微软雅黑" w:cs="微软雅黑"/>
          <w:b/>
          <w:color w:val="000000"/>
          <w:sz w:val="23"/>
        </w:rPr>
        <w:t>2.2 跨 Die 与 TSV</w:t>
      </w:r>
    </w:p>
    <w:p w14:paraId="5F08F42A">
      <w:pPr>
        <w:spacing w:before="0" w:after="120" w:line="324" w:lineRule="auto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引脚全部位于底层 Die 的 net 不得使用顶层 Die 的金属层，反之亦然。</w:t>
      </w:r>
    </w:p>
    <w:p w14:paraId="01C38A75">
      <w:pPr>
        <w:spacing w:before="0" w:after="120" w:line="324" w:lineRule="auto"/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跨 Die 的 net 必须在 metal10 与 metal11 的矩形之间形成重叠区域作为 TSV，并满足下列条件，任意一条不满足都判定为非法：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4649"/>
        <w:gridCol w:w="4649"/>
      </w:tblGrid>
      <w:tr w14:paraId="56B7C6D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tblHeader/>
          <w:jc w:val="center"/>
        </w:trPr>
        <w:tc>
          <w:tcPr>
            <w:tcW w:w="2608" w:type="dxa"/>
            <w:shd w:val="clear" w:color="auto" w:fill="1F3864"/>
            <w:vAlign w:val="center"/>
          </w:tcPr>
          <w:p w14:paraId="24679F0E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TSV 规则</w:t>
            </w:r>
          </w:p>
        </w:tc>
        <w:tc>
          <w:tcPr>
            <w:tcW w:w="6690" w:type="dxa"/>
            <w:shd w:val="clear" w:color="auto" w:fill="1F3864"/>
            <w:vAlign w:val="center"/>
          </w:tcPr>
          <w:p w14:paraId="1C838A99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判定口径</w:t>
            </w:r>
          </w:p>
        </w:tc>
      </w:tr>
      <w:tr w14:paraId="085919E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2608" w:type="dxa"/>
            <w:vAlign w:val="center"/>
          </w:tcPr>
          <w:p w14:paraId="03E60623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必须有重叠区域</w:t>
            </w:r>
          </w:p>
        </w:tc>
        <w:tc>
          <w:tcPr>
            <w:tcW w:w="6690" w:type="dxa"/>
            <w:vAlign w:val="center"/>
          </w:tcPr>
          <w:p w14:paraId="02506F95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metal10 与 metal11 的布线矩形之间至少要有一块面积大于 0 的重叠区域</w:t>
            </w:r>
          </w:p>
        </w:tc>
      </w:tr>
      <w:tr w14:paraId="5C3D7B9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2608" w:type="dxa"/>
            <w:shd w:val="clear" w:color="auto" w:fill="EEF2F8"/>
            <w:vAlign w:val="center"/>
          </w:tcPr>
          <w:p w14:paraId="70E92D39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候选区域不超过 2 个</w:t>
            </w:r>
          </w:p>
        </w:tc>
        <w:tc>
          <w:tcPr>
            <w:tcW w:w="6690" w:type="dxa"/>
            <w:shd w:val="clear" w:color="auto" w:fill="EEF2F8"/>
            <w:vAlign w:val="center"/>
          </w:tcPr>
          <w:p w14:paraId="3457AFDE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同一 net 的重叠候选区域超过 2 个判为非法</w:t>
            </w:r>
          </w:p>
        </w:tc>
      </w:tr>
      <w:tr w14:paraId="1415899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2608" w:type="dxa"/>
            <w:vAlign w:val="center"/>
          </w:tcPr>
          <w:p w14:paraId="2D76E453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2 个候选时需可判定</w:t>
            </w:r>
          </w:p>
        </w:tc>
        <w:tc>
          <w:tcPr>
            <w:tcW w:w="6690" w:type="dxa"/>
            <w:vAlign w:val="center"/>
          </w:tcPr>
          <w:p w14:paraId="6D4112F4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程序优先取「跨层引脚未全部落入其内」的那个候选作为唯一 TSV；若 2 个候选都含跨层引脚，则取面积最大者；若 2 个候选都不含跨层引脚，则判为无法唯一确定（按非法处理）</w:t>
            </w:r>
          </w:p>
        </w:tc>
      </w:tr>
    </w:tbl>
    <w:p w14:paraId="2BA508B2">
      <w:pPr>
        <w:spacing w:before="0" w:after="120" w:line="324" w:lineRule="auto"/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确定下来的 TSV 位置（重叠区域中心）会投影到 GCell 网格，既用于热- TSV 相关性计算，也用于拥塞统计（见 3.2）。</w:t>
      </w:r>
    </w:p>
    <w:p w14:paraId="565F4037">
      <w:pPr>
        <w:pStyle w:val="3"/>
        <w:spacing w:before="280" w:after="100" w:line="288" w:lineRule="auto"/>
      </w:pPr>
      <w:r>
        <w:rPr>
          <w:rFonts w:hint="eastAsia" w:ascii="微软雅黑" w:hAnsi="微软雅黑" w:eastAsia="微软雅黑" w:cs="微软雅黑"/>
          <w:b/>
          <w:color w:val="000000"/>
          <w:sz w:val="29"/>
        </w:rPr>
        <w:t>三、优化质量评价</w:t>
      </w:r>
    </w:p>
    <w:p w14:paraId="1B0D7135">
      <w:pPr>
        <w:spacing w:before="0" w:after="120" w:line="324" w:lineRule="auto"/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优化质量包含线长、拥塞、热优化三项指标，评分程序分别输出 0 到 100 分。程序口径的优化质量总分为三项的加权和：</w:t>
      </w:r>
    </w:p>
    <w:p w14:paraId="6A474689">
      <w:pPr>
        <w:spacing w:before="40" w:after="80" w:line="276" w:lineRule="auto"/>
        <w:jc w:val="center"/>
      </w:pPr>
      <w:r>
        <w:rPr>
          <w:rFonts w:ascii="Consolas" w:hAnsi="Consolas" w:eastAsia="Consolas" w:cs="Consolas"/>
          <w:b w:val="0"/>
          <w:color w:val="000000"/>
          <w:sz w:val="20"/>
        </w:rPr>
        <w:t>quality = 0.45 x wirelength_score + 0.30 x congestion_score + 0.25 x thermal_score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324"/>
        <w:gridCol w:w="2324"/>
        <w:gridCol w:w="2324"/>
        <w:gridCol w:w="2324"/>
      </w:tblGrid>
      <w:tr w14:paraId="53E61C5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tblHeader/>
          <w:jc w:val="center"/>
        </w:trPr>
        <w:tc>
          <w:tcPr>
            <w:tcW w:w="1247" w:type="dxa"/>
            <w:shd w:val="clear" w:color="auto" w:fill="1F3864"/>
            <w:vAlign w:val="center"/>
          </w:tcPr>
          <w:p w14:paraId="4BC2C66C">
            <w:pPr>
              <w:spacing w:before="40" w:after="40" w:line="288" w:lineRule="auto"/>
              <w:jc w:val="center"/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w="907" w:type="dxa"/>
            <w:shd w:val="clear" w:color="auto" w:fill="1F3864"/>
            <w:vAlign w:val="center"/>
          </w:tcPr>
          <w:p w14:paraId="451FE89F">
            <w:pPr>
              <w:spacing w:before="40" w:after="40" w:line="288" w:lineRule="auto"/>
              <w:jc w:val="center"/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权重</w:t>
            </w:r>
          </w:p>
        </w:tc>
        <w:tc>
          <w:tcPr>
            <w:tcW w:w="3402" w:type="dxa"/>
            <w:shd w:val="clear" w:color="auto" w:fill="1F3864"/>
            <w:vAlign w:val="center"/>
          </w:tcPr>
          <w:p w14:paraId="0CF4257F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计算对象</w:t>
            </w:r>
          </w:p>
        </w:tc>
        <w:tc>
          <w:tcPr>
            <w:tcW w:w="3742" w:type="dxa"/>
            <w:shd w:val="clear" w:color="auto" w:fill="1F3864"/>
            <w:vAlign w:val="center"/>
          </w:tcPr>
          <w:p w14:paraId="03BEF3CE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得分换算</w:t>
            </w:r>
          </w:p>
        </w:tc>
      </w:tr>
      <w:tr w14:paraId="6942794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65F0BE6F">
            <w:pPr>
              <w:spacing w:before="40" w:after="40" w:line="288" w:lineRule="auto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总线长</w:t>
            </w:r>
          </w:p>
        </w:tc>
        <w:tc>
          <w:tcPr>
            <w:tcW w:w="907" w:type="dxa"/>
            <w:vAlign w:val="center"/>
          </w:tcPr>
          <w:p w14:paraId="1D4AE034"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45%</w:t>
            </w:r>
          </w:p>
        </w:tc>
        <w:tc>
          <w:tcPr>
            <w:tcW w:w="3402" w:type="dxa"/>
            <w:vAlign w:val="center"/>
          </w:tcPr>
          <w:p w14:paraId="137E43BA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每个 net 的 GCell 布线成本与基准线长</w:t>
            </w:r>
          </w:p>
        </w:tc>
        <w:tc>
          <w:tcPr>
            <w:tcW w:w="3742" w:type="dxa"/>
            <w:vAlign w:val="center"/>
          </w:tcPr>
          <w:p w14:paraId="114E261C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100 x min(L, 1 / L)</w:t>
            </w:r>
          </w:p>
        </w:tc>
      </w:tr>
      <w:tr w14:paraId="744F2C1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1247" w:type="dxa"/>
            <w:shd w:val="clear" w:color="auto" w:fill="EEF2F8"/>
            <w:vAlign w:val="center"/>
          </w:tcPr>
          <w:p w14:paraId="68D146B4">
            <w:pPr>
              <w:spacing w:before="40" w:after="40" w:line="288" w:lineRule="auto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拥塞评价</w:t>
            </w:r>
          </w:p>
        </w:tc>
        <w:tc>
          <w:tcPr>
            <w:tcW w:w="907" w:type="dxa"/>
            <w:shd w:val="clear" w:color="auto" w:fill="EEF2F8"/>
            <w:vAlign w:val="center"/>
          </w:tcPr>
          <w:p w14:paraId="71ADC609"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30%</w:t>
            </w:r>
          </w:p>
        </w:tc>
        <w:tc>
          <w:tcPr>
            <w:tcW w:w="3402" w:type="dxa"/>
            <w:shd w:val="clear" w:color="auto" w:fill="EEF2F8"/>
            <w:vAlign w:val="center"/>
          </w:tcPr>
          <w:p w14:paraId="1AFA4AB7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每个 GCell 每层的需求量与容量之差</w:t>
            </w:r>
          </w:p>
        </w:tc>
        <w:tc>
          <w:tcPr>
            <w:tcW w:w="3742" w:type="dxa"/>
            <w:shd w:val="clear" w:color="auto" w:fill="EEF2F8"/>
            <w:vAlign w:val="center"/>
          </w:tcPr>
          <w:p w14:paraId="7CFF664D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100 x 1 / sqrt(1 + SUM (0.1 x Overflow / capacity)^2)</w:t>
            </w:r>
          </w:p>
        </w:tc>
      </w:tr>
      <w:tr w14:paraId="0E51DA7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4018FC8F">
            <w:pPr>
              <w:spacing w:before="40" w:after="40" w:line="288" w:lineRule="auto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热优化</w:t>
            </w:r>
          </w:p>
        </w:tc>
        <w:tc>
          <w:tcPr>
            <w:tcW w:w="907" w:type="dxa"/>
            <w:vAlign w:val="center"/>
          </w:tcPr>
          <w:p w14:paraId="42E4AA5E"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25%</w:t>
            </w:r>
          </w:p>
        </w:tc>
        <w:tc>
          <w:tcPr>
            <w:tcW w:w="3402" w:type="dxa"/>
            <w:vAlign w:val="center"/>
          </w:tcPr>
          <w:p w14:paraId="323FB5C5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温度分布与 TSV 分布的皮尔逊相关系数 r</w:t>
            </w:r>
          </w:p>
        </w:tc>
        <w:tc>
          <w:tcPr>
            <w:tcW w:w="3742" w:type="dxa"/>
            <w:vAlign w:val="center"/>
          </w:tcPr>
          <w:p w14:paraId="33416AEE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100 x (0.5 + 0.5 x tanh(G_case x r))</w:t>
            </w:r>
          </w:p>
        </w:tc>
      </w:tr>
    </w:tbl>
    <w:p w14:paraId="707D9663">
      <w:pPr>
        <w:pStyle w:val="4"/>
        <w:spacing w:before="200" w:after="60" w:line="288" w:lineRule="auto"/>
      </w:pPr>
      <w:r>
        <w:rPr>
          <w:rFonts w:hint="eastAsia" w:ascii="微软雅黑" w:hAnsi="微软雅黑" w:eastAsia="微软雅黑" w:cs="微软雅黑"/>
          <w:b/>
          <w:color w:val="000000"/>
          <w:sz w:val="23"/>
        </w:rPr>
        <w:t>3.1 总线长</w:t>
      </w:r>
    </w:p>
    <w:p w14:paraId="19879175">
      <w:pPr>
        <w:spacing w:before="0" w:after="120" w:line="324" w:lineRule="auto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每个 net 的布线成本由两部分组成。</w:t>
      </w:r>
    </w:p>
    <w:p w14:paraId="7DEC2C6C">
      <w:pPr>
        <w:spacing w:before="0" w:after="120" w:line="324" w:lineRule="auto"/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第一部分是平面部分：把该 net 在每一层上被布线矩形覆盖的 GCell 去重后，水平层按 GCell 宽度、垂直层按 GCell 高度累加，也就是用覆盖的 GCell 数乘以格长来逼近走线长度。</w:t>
      </w:r>
    </w:p>
    <w:p w14:paraId="63FA15A0">
      <w:pPr>
        <w:spacing w:before="0" w:after="120" w:line="324" w:lineRule="auto"/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第二部分是层间连接：对相邻两层（层号相差 1）互相重叠的布线矩形，跨 Die 的按 TSV 代价</w:t>
      </w:r>
      <w:r>
        <w:rPr>
          <w:rFonts w:hint="eastAsia" w:cs="微软雅黑"/>
          <w:b w:val="0"/>
          <w:color w:val="000000"/>
          <w:sz w:val="21"/>
          <w:lang w:eastAsia="zh"/>
        </w:rPr>
        <w:t>(</w:t>
      </w:r>
      <w:r>
        <w:rPr>
          <w:rFonts w:ascii="Consolas" w:hAnsi="Consolas" w:eastAsia="Consolas" w:cs="Consolas"/>
          <w:b w:val="0"/>
          <w:color w:val="000000"/>
          <w:sz w:val="20"/>
        </w:rPr>
        <w:t>tsv_ratio</w:t>
      </w:r>
      <w:r>
        <w:rPr>
          <w:rFonts w:hint="eastAsia" w:cs="微软雅黑"/>
          <w:b w:val="0"/>
          <w:color w:val="000000"/>
          <w:sz w:val="21"/>
          <w:lang w:eastAsia="zh"/>
        </w:rPr>
        <w:t>)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计价，同一 Die 内的按 via 代价</w:t>
      </w:r>
      <w:r>
        <w:rPr>
          <w:rFonts w:hint="eastAsia" w:cs="微软雅黑"/>
          <w:b w:val="0"/>
          <w:color w:val="000000"/>
          <w:sz w:val="21"/>
          <w:lang w:eastAsia="zh"/>
        </w:rPr>
        <w:t>(</w:t>
      </w:r>
      <w:r>
        <w:rPr>
          <w:rFonts w:ascii="Consolas" w:hAnsi="Consolas" w:eastAsia="Consolas" w:cs="Consolas"/>
          <w:b w:val="0"/>
          <w:color w:val="000000"/>
          <w:sz w:val="20"/>
        </w:rPr>
        <w:t>via_ratio</w:t>
      </w:r>
      <w:r>
        <w:rPr>
          <w:rFonts w:hint="eastAsia" w:cs="微软雅黑"/>
          <w:b w:val="0"/>
          <w:color w:val="000000"/>
          <w:sz w:val="21"/>
          <w:lang w:eastAsia="zh"/>
        </w:rPr>
        <w:t>)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计价，每个矩形最多计一次：</w:t>
      </w:r>
    </w:p>
    <w:p w14:paraId="63795FE0">
      <w:pPr>
        <w:spacing w:before="40" w:after="80" w:line="276" w:lineRule="auto"/>
        <w:jc w:val="center"/>
      </w:pPr>
      <w:r>
        <w:rPr>
          <w:rFonts w:hint="eastAsia" w:ascii="Consolas" w:hAnsi="Consolas" w:eastAsia="Consolas" w:cs="Consolas"/>
          <w:b w:val="0"/>
          <w:color w:val="000000"/>
          <w:sz w:val="20"/>
          <w:lang w:eastAsia="zh"/>
        </w:rPr>
        <w:t>wirelength</w:t>
      </w:r>
      <w:r>
        <w:rPr>
          <w:rFonts w:ascii="Consolas" w:hAnsi="Consolas" w:eastAsia="Consolas" w:cs="Consolas"/>
          <w:b w:val="0"/>
          <w:color w:val="000000"/>
          <w:sz w:val="20"/>
        </w:rPr>
        <w:t>_cost = SUM over layer ( |covered GCells| x gcell_pitch(layer) )</w:t>
      </w:r>
    </w:p>
    <w:p w14:paraId="64656600">
      <w:pPr>
        <w:spacing w:before="40" w:after="80" w:line="276" w:lineRule="auto"/>
        <w:jc w:val="center"/>
      </w:pPr>
      <w:r>
        <w:rPr>
          <w:rFonts w:ascii="Consolas" w:hAnsi="Consolas" w:eastAsia="Consolas" w:cs="Consolas"/>
          <w:b w:val="0"/>
          <w:color w:val="000000"/>
          <w:sz w:val="20"/>
        </w:rPr>
        <w:t>cross_cost = tsv_ratio x max(gcell_width, gcell_height)</w:t>
      </w:r>
    </w:p>
    <w:p w14:paraId="7D04C7D3">
      <w:pPr>
        <w:spacing w:before="40" w:after="80" w:line="276" w:lineRule="auto"/>
        <w:jc w:val="center"/>
        <w:rPr>
          <w:rFonts w:ascii="Consolas" w:hAnsi="Consolas" w:eastAsia="Consolas" w:cs="Consolas"/>
          <w:b w:val="0"/>
          <w:color w:val="000000"/>
          <w:sz w:val="20"/>
        </w:rPr>
      </w:pPr>
      <w:r>
        <w:rPr>
          <w:rFonts w:ascii="Consolas" w:hAnsi="Consolas" w:eastAsia="Consolas" w:cs="Consolas"/>
          <w:b w:val="0"/>
          <w:color w:val="000000"/>
          <w:sz w:val="20"/>
        </w:rPr>
        <w:t>via_cost   = via_ratio x max(gcell_width, gcell_height)</w:t>
      </w:r>
    </w:p>
    <w:p w14:paraId="03B7B911">
      <w:pPr>
        <w:spacing w:before="40" w:after="80" w:line="276" w:lineRule="auto"/>
        <w:jc w:val="center"/>
        <w:rPr>
          <w:rFonts w:hint="eastAsia" w:ascii="Consolas" w:hAnsi="Consolas" w:eastAsia="Consolas" w:cs="Consolas"/>
          <w:b w:val="0"/>
          <w:color w:val="000000"/>
          <w:sz w:val="20"/>
          <w:lang w:eastAsia="zh"/>
        </w:rPr>
      </w:pPr>
      <w:r>
        <w:rPr>
          <w:rFonts w:ascii="Consolas" w:hAnsi="Consolas" w:eastAsia="Consolas" w:cs="Consolas"/>
          <w:b w:val="0"/>
          <w:color w:val="000000"/>
          <w:sz w:val="20"/>
        </w:rPr>
        <w:t xml:space="preserve"> total_</w:t>
      </w:r>
      <w:r>
        <w:rPr>
          <w:rFonts w:hint="eastAsia" w:ascii="Consolas" w:hAnsi="Consolas" w:eastAsia="Consolas" w:cs="Consolas"/>
          <w:b w:val="0"/>
          <w:color w:val="000000"/>
          <w:sz w:val="20"/>
          <w:lang w:eastAsia="zh"/>
        </w:rPr>
        <w:t>cost = wirelength</w:t>
      </w:r>
      <w:r>
        <w:rPr>
          <w:rFonts w:ascii="Consolas" w:hAnsi="Consolas" w:eastAsia="Consolas" w:cs="Consolas"/>
          <w:b w:val="0"/>
          <w:color w:val="000000"/>
          <w:sz w:val="20"/>
        </w:rPr>
        <w:t>_cost</w:t>
      </w:r>
      <w:r>
        <w:rPr>
          <w:rFonts w:hint="eastAsia" w:ascii="Consolas" w:hAnsi="Consolas" w:eastAsia="Consolas" w:cs="Consolas"/>
          <w:b w:val="0"/>
          <w:color w:val="000000"/>
          <w:sz w:val="20"/>
          <w:lang w:eastAsia="zh"/>
        </w:rPr>
        <w:t xml:space="preserve"> + via_number * </w:t>
      </w:r>
      <w:r>
        <w:rPr>
          <w:rFonts w:ascii="Consolas" w:hAnsi="Consolas" w:eastAsia="Consolas" w:cs="Consolas"/>
          <w:b w:val="0"/>
          <w:color w:val="000000"/>
          <w:sz w:val="20"/>
        </w:rPr>
        <w:t>via_cost</w:t>
      </w:r>
      <w:r>
        <w:rPr>
          <w:rFonts w:hint="eastAsia" w:ascii="Consolas" w:hAnsi="Consolas" w:eastAsia="Consolas" w:cs="Consolas"/>
          <w:b w:val="0"/>
          <w:color w:val="000000"/>
          <w:sz w:val="20"/>
          <w:lang w:eastAsia="zh"/>
        </w:rPr>
        <w:t xml:space="preserve"> + </w:t>
      </w:r>
      <w:r>
        <w:rPr>
          <w:rFonts w:ascii="Consolas" w:hAnsi="Consolas" w:eastAsia="Consolas" w:cs="Consolas"/>
          <w:b w:val="0"/>
          <w:color w:val="000000"/>
          <w:sz w:val="20"/>
        </w:rPr>
        <w:t>cross_cost</w:t>
      </w:r>
      <w:r>
        <w:rPr>
          <w:rFonts w:hint="eastAsia" w:ascii="Consolas" w:hAnsi="Consolas" w:eastAsia="Consolas" w:cs="Consolas"/>
          <w:b w:val="0"/>
          <w:color w:val="000000"/>
          <w:sz w:val="20"/>
          <w:lang w:eastAsia="zh"/>
        </w:rPr>
        <w:t>(跨DIE的net)</w:t>
      </w:r>
    </w:p>
    <w:p w14:paraId="20FCDACB">
      <w:pPr>
        <w:spacing w:before="0" w:after="120" w:line="324" w:lineRule="auto"/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基准线长取三维 HPWL：对每个 net 的全部引脚中心调用 FLUTE 求直角斯坦纳树长度，再加上 FLUTE 得到的层间连接数乘以 via 代价换算的跨层成本：</w:t>
      </w:r>
    </w:p>
    <w:p w14:paraId="3DA8737C">
      <w:pPr>
        <w:spacing w:before="40" w:after="80" w:line="276" w:lineRule="auto"/>
        <w:jc w:val="center"/>
        <w:rPr>
          <w:rFonts w:hint="eastAsia" w:eastAsia="Consolas"/>
          <w:lang w:eastAsia="zh"/>
        </w:rPr>
      </w:pPr>
      <w:r>
        <w:rPr>
          <w:rFonts w:ascii="Consolas" w:hAnsi="Consolas" w:eastAsia="Consolas" w:cs="Consolas"/>
          <w:b w:val="0"/>
          <w:color w:val="000000"/>
          <w:sz w:val="20"/>
        </w:rPr>
        <w:t>HPWL_base</w:t>
      </w:r>
      <w:r>
        <w:rPr>
          <w:rFonts w:hint="eastAsia" w:ascii="Consolas" w:hAnsi="Consolas" w:eastAsia="Consolas" w:cs="Consolas"/>
          <w:b w:val="0"/>
          <w:color w:val="000000"/>
          <w:sz w:val="20"/>
          <w:lang w:eastAsia="zh"/>
        </w:rPr>
        <w:t>_cost</w:t>
      </w:r>
      <w:r>
        <w:rPr>
          <w:rFonts w:ascii="Consolas" w:hAnsi="Consolas" w:eastAsia="Consolas" w:cs="Consolas"/>
          <w:b w:val="0"/>
          <w:color w:val="000000"/>
          <w:sz w:val="20"/>
        </w:rPr>
        <w:t xml:space="preserve"> = FLUTE_Steiner</w:t>
      </w:r>
      <w:r>
        <w:rPr>
          <w:rFonts w:hint="eastAsia" w:ascii="Consolas" w:hAnsi="Consolas" w:eastAsia="Consolas" w:cs="Consolas"/>
          <w:b w:val="0"/>
          <w:color w:val="000000"/>
          <w:sz w:val="20"/>
          <w:lang w:eastAsia="zh"/>
        </w:rPr>
        <w:t>_wirelength_cost</w:t>
      </w:r>
      <w:r>
        <w:rPr>
          <w:rFonts w:ascii="Consolas" w:hAnsi="Consolas" w:eastAsia="Consolas" w:cs="Consolas"/>
          <w:b w:val="0"/>
          <w:color w:val="000000"/>
          <w:sz w:val="20"/>
        </w:rPr>
        <w:t xml:space="preserve"> + FLUTE_Steiner</w:t>
      </w:r>
      <w:r>
        <w:rPr>
          <w:rFonts w:hint="eastAsia" w:ascii="Consolas" w:hAnsi="Consolas" w:eastAsia="Consolas" w:cs="Consolas"/>
          <w:b w:val="0"/>
          <w:color w:val="000000"/>
          <w:sz w:val="20"/>
          <w:lang w:eastAsia="zh"/>
        </w:rPr>
        <w:t>_via_number</w:t>
      </w:r>
      <w:r>
        <w:rPr>
          <w:rFonts w:ascii="Consolas" w:hAnsi="Consolas" w:eastAsia="Consolas" w:cs="Consolas"/>
          <w:b w:val="0"/>
          <w:color w:val="000000"/>
          <w:sz w:val="20"/>
        </w:rPr>
        <w:t xml:space="preserve"> x via_cost</w:t>
      </w:r>
      <w:r>
        <w:rPr>
          <w:rFonts w:hint="eastAsia" w:ascii="Consolas" w:hAnsi="Consolas" w:eastAsia="Consolas" w:cs="Consolas"/>
          <w:b w:val="0"/>
          <w:color w:val="000000"/>
          <w:sz w:val="20"/>
          <w:lang w:eastAsia="zh"/>
        </w:rPr>
        <w:t xml:space="preserve"> + </w:t>
      </w:r>
      <w:r>
        <w:rPr>
          <w:rFonts w:ascii="Consolas" w:hAnsi="Consolas" w:eastAsia="Consolas" w:cs="Consolas"/>
          <w:b w:val="0"/>
          <w:color w:val="000000"/>
          <w:sz w:val="20"/>
        </w:rPr>
        <w:t>cross_cost</w:t>
      </w:r>
      <w:r>
        <w:rPr>
          <w:rFonts w:hint="eastAsia" w:ascii="Consolas" w:hAnsi="Consolas" w:eastAsia="Consolas" w:cs="Consolas"/>
          <w:b w:val="0"/>
          <w:color w:val="000000"/>
          <w:sz w:val="20"/>
          <w:lang w:eastAsia="zh"/>
        </w:rPr>
        <w:t>(跨DIE的net)</w:t>
      </w:r>
    </w:p>
    <w:p w14:paraId="3128CDCF">
      <w:pPr>
        <w:spacing w:before="0" w:after="120" w:line="324" w:lineRule="auto"/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全线长归一化为总线长与基准总线长之比。得分按下式换算：L 越接近 1 得分越高，L 偏离 1（偏大或偏小）都按偏离倍数下降：</w:t>
      </w:r>
    </w:p>
    <w:p w14:paraId="417967B4">
      <w:pPr>
        <w:spacing w:before="40" w:after="80" w:line="276" w:lineRule="auto"/>
        <w:jc w:val="center"/>
        <w:rPr>
          <w:rFonts w:hint="eastAsia" w:eastAsia="Consolas"/>
          <w:lang w:eastAsia="zh"/>
        </w:rPr>
      </w:pPr>
      <w:r>
        <w:rPr>
          <w:rFonts w:ascii="Consolas" w:hAnsi="Consolas" w:eastAsia="Consolas" w:cs="Consolas"/>
          <w:b w:val="0"/>
          <w:color w:val="000000"/>
          <w:sz w:val="20"/>
        </w:rPr>
        <w:t>L = total_</w:t>
      </w:r>
      <w:r>
        <w:rPr>
          <w:rFonts w:hint="eastAsia" w:ascii="Consolas" w:hAnsi="Consolas" w:eastAsia="Consolas" w:cs="Consolas"/>
          <w:b w:val="0"/>
          <w:color w:val="000000"/>
          <w:sz w:val="20"/>
          <w:lang w:eastAsia="zh"/>
        </w:rPr>
        <w:t xml:space="preserve">cost </w:t>
      </w:r>
      <w:r>
        <w:rPr>
          <w:rFonts w:ascii="Consolas" w:hAnsi="Consolas" w:eastAsia="Consolas" w:cs="Consolas"/>
          <w:b w:val="0"/>
          <w:color w:val="000000"/>
          <w:sz w:val="20"/>
        </w:rPr>
        <w:t xml:space="preserve"> / HPWL_base</w:t>
      </w:r>
      <w:r>
        <w:rPr>
          <w:rFonts w:hint="eastAsia" w:ascii="Consolas" w:hAnsi="Consolas" w:eastAsia="Consolas" w:cs="Consolas"/>
          <w:b w:val="0"/>
          <w:color w:val="000000"/>
          <w:sz w:val="20"/>
          <w:lang w:eastAsia="zh"/>
        </w:rPr>
        <w:t>_cost</w:t>
      </w:r>
    </w:p>
    <w:p w14:paraId="367F8118">
      <w:pPr>
        <w:spacing w:before="40" w:after="80" w:line="276" w:lineRule="auto"/>
        <w:jc w:val="center"/>
        <w:rPr>
          <w:rFonts w:ascii="Consolas" w:hAnsi="Consolas" w:eastAsia="Consolas" w:cs="Consolas"/>
          <w:b w:val="0"/>
          <w:color w:val="000000"/>
          <w:sz w:val="20"/>
        </w:rPr>
      </w:pPr>
      <w:r>
        <w:rPr>
          <w:rFonts w:ascii="Consolas" w:hAnsi="Consolas" w:eastAsia="Consolas" w:cs="Consolas"/>
          <w:b w:val="0"/>
          <w:color w:val="000000"/>
          <w:sz w:val="20"/>
        </w:rPr>
        <w:t>q_wl = min(L, 1 / L)</w:t>
      </w:r>
    </w:p>
    <w:p w14:paraId="710FA68A">
      <w:pPr>
        <w:spacing w:before="40" w:after="80" w:line="276" w:lineRule="auto"/>
        <w:jc w:val="center"/>
        <w:rPr>
          <w:rFonts w:ascii="Consolas" w:hAnsi="Consolas" w:eastAsia="Consolas" w:cs="Consolas"/>
          <w:b w:val="0"/>
          <w:color w:val="000000"/>
          <w:sz w:val="20"/>
        </w:rPr>
      </w:pPr>
    </w:p>
    <w:p w14:paraId="03B9F36A">
      <w:pPr>
        <w:pStyle w:val="4"/>
        <w:spacing w:before="200" w:after="60" w:line="288" w:lineRule="auto"/>
      </w:pPr>
      <w:r>
        <w:rPr>
          <w:rFonts w:hint="eastAsia" w:ascii="微软雅黑" w:hAnsi="微软雅黑" w:eastAsia="微软雅黑" w:cs="微软雅黑"/>
          <w:b/>
          <w:color w:val="000000"/>
          <w:sz w:val="23"/>
        </w:rPr>
        <w:t>3.2 拥塞评价</w:t>
      </w:r>
    </w:p>
    <w:p w14:paraId="74718150">
      <w:pPr>
        <w:spacing w:before="0" w:after="120" w:line="324" w:lineRule="auto"/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拥塞以全局布线单元 GCell 为统计单位，逐层计算。容量来自 DEF 的 TRACKS 定义：某个 GCell 在某层某个方向的容量，等于该格内该层该方向的 track 数；容量为 0 的格</w:t>
      </w:r>
      <w:r>
        <w:rPr>
          <w:rFonts w:hint="eastAsia" w:cs="微软雅黑"/>
          <w:b w:val="0"/>
          <w:color w:val="000000"/>
          <w:sz w:val="21"/>
          <w:lang w:val="en-US" w:eastAsia="zh-CN"/>
        </w:rPr>
        <w:t>如果走线会被给予一个比较大的惩罚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。</w:t>
      </w:r>
    </w:p>
    <w:p w14:paraId="237387A3">
      <w:pPr>
        <w:spacing w:before="0" w:after="120" w:line="324" w:lineRule="auto"/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需求量由三部分组成：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976"/>
        <w:gridCol w:w="6322"/>
      </w:tblGrid>
      <w:tr w14:paraId="35EE871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tblHeader/>
          <w:jc w:val="center"/>
        </w:trPr>
        <w:tc>
          <w:tcPr>
            <w:tcW w:w="2976" w:type="dxa"/>
            <w:shd w:val="clear" w:color="auto" w:fill="1F3864"/>
            <w:vAlign w:val="center"/>
          </w:tcPr>
          <w:p w14:paraId="474FA5D8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需求来源</w:t>
            </w:r>
          </w:p>
        </w:tc>
        <w:tc>
          <w:tcPr>
            <w:tcW w:w="6322" w:type="dxa"/>
            <w:shd w:val="clear" w:color="auto" w:fill="1F3864"/>
            <w:vAlign w:val="center"/>
          </w:tcPr>
          <w:p w14:paraId="33F00C6C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计入方式</w:t>
            </w:r>
          </w:p>
        </w:tc>
      </w:tr>
      <w:tr w14:paraId="042C5D2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2976" w:type="dxa"/>
            <w:vAlign w:val="center"/>
          </w:tcPr>
          <w:p w14:paraId="6FFCD06D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引脚</w:t>
            </w:r>
            <w:r>
              <w:rPr>
                <w:rFonts w:hint="eastAsia" w:cs="微软雅黑"/>
                <w:b w:val="0"/>
                <w:color w:val="000000"/>
                <w:sz w:val="20"/>
                <w:lang w:eastAsia="zh"/>
              </w:rPr>
              <w:t>与OBS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的障碍</w:t>
            </w:r>
          </w:p>
        </w:tc>
        <w:tc>
          <w:tcPr>
            <w:tcW w:w="6322" w:type="dxa"/>
            <w:vAlign w:val="center"/>
          </w:tcPr>
          <w:p w14:paraId="3807F9A0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按障碍在该格该层实际占用的 track 数累加</w:t>
            </w:r>
          </w:p>
        </w:tc>
      </w:tr>
      <w:tr w14:paraId="430DC18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2976" w:type="dxa"/>
            <w:shd w:val="clear" w:color="auto" w:fill="EEF2F8"/>
            <w:vAlign w:val="center"/>
          </w:tcPr>
          <w:p w14:paraId="0CE83B39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覆盖该格的 GUIDE 矩形</w:t>
            </w:r>
          </w:p>
        </w:tc>
        <w:tc>
          <w:tcPr>
            <w:tcW w:w="6322" w:type="dxa"/>
            <w:shd w:val="clear" w:color="auto" w:fill="EEF2F8"/>
            <w:vAlign w:val="center"/>
          </w:tcPr>
          <w:p w14:paraId="5FA7D930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同一 net 在该格该层只计 1 份需求（该 net 的多个矩形落在同一格该层时按 1 计）</w:t>
            </w:r>
          </w:p>
        </w:tc>
      </w:tr>
      <w:tr w14:paraId="11E9E01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2976" w:type="dxa"/>
            <w:vAlign w:val="center"/>
          </w:tcPr>
          <w:p w14:paraId="3344602A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TSV</w:t>
            </w:r>
          </w:p>
        </w:tc>
        <w:tc>
          <w:tcPr>
            <w:tcW w:w="6322" w:type="dxa"/>
            <w:vAlign w:val="center"/>
          </w:tcPr>
          <w:p w14:paraId="1BF09DEB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每个 TSV 在其 top_layer 与 bottom_layer 上各加一份需求</w:t>
            </w:r>
          </w:p>
        </w:tc>
      </w:tr>
    </w:tbl>
    <w:p w14:paraId="1FF57341">
      <w:pPr>
        <w:spacing w:before="0" w:after="120" w:line="324" w:lineRule="auto"/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超出容量的部分记为溢出：</w:t>
      </w:r>
    </w:p>
    <w:p w14:paraId="6FFFAF55">
      <w:pPr>
        <w:spacing w:before="40" w:after="80" w:line="276" w:lineRule="auto"/>
        <w:jc w:val="center"/>
      </w:pPr>
      <w:r>
        <w:rPr>
          <w:rFonts w:ascii="Consolas" w:hAnsi="Consolas" w:eastAsia="Consolas" w:cs="Consolas"/>
          <w:b w:val="0"/>
          <w:color w:val="000000"/>
          <w:sz w:val="20"/>
        </w:rPr>
        <w:t>Overflow = max(0, demand - capacity)</w:t>
      </w:r>
    </w:p>
    <w:p w14:paraId="1C82A1F1">
      <w:pPr>
        <w:spacing w:before="0" w:after="120" w:line="324" w:lineRule="auto"/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拥塞指标汇总所有溢出格，容量越小的格，每单位溢出的惩罚越大：</w:t>
      </w:r>
    </w:p>
    <w:p w14:paraId="545E55DB">
      <w:pPr>
        <w:spacing w:before="40" w:after="80" w:line="276" w:lineRule="auto"/>
        <w:jc w:val="center"/>
      </w:pPr>
      <w:r>
        <w:rPr>
          <w:rFonts w:ascii="Consolas" w:hAnsi="Consolas" w:eastAsia="Consolas" w:cs="Consolas"/>
          <w:b w:val="0"/>
          <w:color w:val="000000"/>
          <w:sz w:val="20"/>
        </w:rPr>
        <w:t>norm_overflow = 1 / sqrt(1 + SUM (0.1 x Overflow / capacity)^2)</w:t>
      </w:r>
    </w:p>
    <w:p w14:paraId="29993A0F">
      <w:pPr>
        <w:spacing w:before="0" w:after="120" w:line="324" w:lineRule="auto"/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拥塞得分为 100 乘以 norm_overflow，没有溢出时为满分。报告中对应字段为 max_overflow、average_overflow、total_overflow 与 overflow_entries。</w:t>
      </w:r>
    </w:p>
    <w:p w14:paraId="31E1A295">
      <w:pPr>
        <w:pStyle w:val="4"/>
        <w:spacing w:before="200" w:after="60" w:line="288" w:lineRule="auto"/>
      </w:pPr>
      <w:r>
        <w:rPr>
          <w:rFonts w:hint="eastAsia" w:ascii="微软雅黑" w:hAnsi="微软雅黑" w:eastAsia="微软雅黑" w:cs="微软雅黑"/>
          <w:b/>
          <w:color w:val="000000"/>
          <w:sz w:val="23"/>
        </w:rPr>
        <w:t>3.3 热优化评价</w:t>
      </w:r>
    </w:p>
    <w:p w14:paraId="6696C33A">
      <w:pPr>
        <w:spacing w:before="0" w:after="120" w:line="324" w:lineRule="auto"/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热优化衡量 TSV 分布是否与温度热点正相关。程序先把温度节点与 TSV 位置投影到同一套 GCell 网格：格点温度取落入该格所有节点温度的均值，没有节点的格点用其前一行或前一列最近的有效值填充。</w:t>
      </w:r>
    </w:p>
    <w:p w14:paraId="006F3C47">
      <w:pPr>
        <w:spacing w:before="0" w:after="120" w:line="324" w:lineRule="auto"/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温度分布取相对环境温度的温升，即 T - ambient 的正值部分，环境温度取自 thermal JSON 的 meta.ambientTemp。两组数据分别归一化为占比后计算皮尔逊相关系数 r，取值范围为 -1 到 1：</w:t>
      </w:r>
    </w:p>
    <w:p w14:paraId="33251D3B">
      <w:pPr>
        <w:spacing w:before="40" w:after="80" w:line="276" w:lineRule="auto"/>
        <w:jc w:val="center"/>
      </w:pPr>
      <w:r>
        <w:rPr>
          <w:rFonts w:ascii="Consolas" w:hAnsi="Consolas" w:eastAsia="Consolas" w:cs="Consolas"/>
          <w:b w:val="0"/>
          <w:color w:val="000000"/>
          <w:sz w:val="20"/>
        </w:rPr>
        <w:t>heat_i = max(T_i - ambient, 0) / SUM max(T - ambient, 0)</w:t>
      </w:r>
    </w:p>
    <w:p w14:paraId="12D015DA">
      <w:pPr>
        <w:spacing w:before="40" w:after="80" w:line="276" w:lineRule="auto"/>
        <w:jc w:val="center"/>
      </w:pPr>
      <w:r>
        <w:rPr>
          <w:rFonts w:ascii="Consolas" w:hAnsi="Consolas" w:eastAsia="Consolas" w:cs="Consolas"/>
          <w:b w:val="0"/>
          <w:color w:val="000000"/>
          <w:sz w:val="20"/>
        </w:rPr>
        <w:t>tsv_i = TSV_i / SUM TSV</w:t>
      </w:r>
    </w:p>
    <w:p w14:paraId="329C62C2">
      <w:pPr>
        <w:spacing w:before="40" w:after="80" w:line="276" w:lineRule="auto"/>
        <w:jc w:val="center"/>
      </w:pPr>
      <w:r>
        <w:rPr>
          <w:rFonts w:ascii="Consolas" w:hAnsi="Consolas" w:eastAsia="Consolas" w:cs="Consolas"/>
          <w:b w:val="0"/>
          <w:color w:val="000000"/>
          <w:sz w:val="20"/>
        </w:rPr>
        <w:t>r = SUM (heat_i - mean_heat)(tsv_i - mean_tsv) / (sigma_heat x sigma_tsv)</w:t>
      </w:r>
    </w:p>
    <w:p w14:paraId="1AFBAA00">
      <w:pPr>
        <w:spacing w:before="0" w:after="120" w:line="324" w:lineRule="auto"/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热优化得分为 100 乘以 (0.5 + 0.5 x tanh(G_case x r))，其中 G_case 为该用例对应的热项饱和增益、由评分程序按用例给定，即 r = 0 时得 50 分，r 越大得分越高、越接近 100 分，r 为负则低于 50 分。</w:t>
      </w:r>
    </w:p>
    <w:p w14:paraId="50ABB241">
      <w:pPr>
        <w:pStyle w:val="3"/>
        <w:spacing w:before="280" w:after="100" w:line="288" w:lineRule="auto"/>
      </w:pPr>
      <w:r>
        <w:rPr>
          <w:rFonts w:hint="eastAsia" w:ascii="微软雅黑" w:hAnsi="微软雅黑" w:eastAsia="微软雅黑" w:cs="微软雅黑"/>
          <w:b/>
          <w:color w:val="000000"/>
          <w:sz w:val="29"/>
        </w:rPr>
        <w:t>四、运行效率</w:t>
      </w:r>
    </w:p>
    <w:p w14:paraId="2BD61F52">
      <w:pPr>
        <w:spacing w:before="0" w:after="120" w:line="324" w:lineRule="auto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运行效率对应 S4，包含两条硬性约束：</w:t>
      </w:r>
    </w:p>
    <w:p w14:paraId="467CD2FD">
      <w:pPr>
        <w:spacing w:before="0" w:after="120" w:line="324" w:lineRule="auto"/>
        <w:ind w:firstLine="720" w:firstLineChars="0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 xml:space="preserve">单个测试用例的运行时间不超过 </w:t>
      </w:r>
      <w:r>
        <w:rPr>
          <w:rFonts w:hint="eastAsia" w:cs="微软雅黑"/>
          <w:b w:val="0"/>
          <w:color w:val="000000"/>
          <w:sz w:val="21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 xml:space="preserve">2 </w:t>
      </w:r>
      <w:bookmarkStart w:id="0" w:name="_GoBack"/>
      <w:bookmarkEnd w:id="0"/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小时；</w:t>
      </w:r>
    </w:p>
    <w:p w14:paraId="791DE1C9">
      <w:pPr>
        <w:spacing w:before="0" w:after="120" w:line="324" w:lineRule="auto"/>
        <w:ind w:firstLine="720" w:firstLineChars="0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运行期间的峰值内存不超过 1</w:t>
      </w:r>
      <w:r>
        <w:rPr>
          <w:rFonts w:hint="eastAsia" w:cs="微软雅黑"/>
          <w:b w:val="0"/>
          <w:color w:val="000000"/>
          <w:sz w:val="21"/>
          <w:lang w:val="en-US" w:eastAsia="zh-CN"/>
        </w:rPr>
        <w:t>28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 xml:space="preserve"> GB。</w:t>
      </w:r>
    </w:p>
    <w:p w14:paraId="38964C17">
      <w:pPr>
        <w:spacing w:before="0" w:after="120" w:line="324" w:lineRule="auto"/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任意一条不满足，该测试用例视为无效提交，记 0 分。这两项在运行参赛程序时执行，评分程序在评测超出约束时给出 0 分结论。</w:t>
      </w:r>
    </w:p>
    <w:p w14:paraId="338D01B7">
      <w:pPr>
        <w:pStyle w:val="3"/>
        <w:spacing w:before="280" w:after="100" w:line="288" w:lineRule="auto"/>
      </w:pPr>
      <w:r>
        <w:rPr>
          <w:rFonts w:hint="eastAsia" w:ascii="微软雅黑" w:hAnsi="微软雅黑" w:eastAsia="微软雅黑" w:cs="微软雅黑"/>
          <w:b/>
          <w:color w:val="000000"/>
          <w:sz w:val="29"/>
        </w:rPr>
        <w:t>五、输入与输出</w:t>
      </w:r>
    </w:p>
    <w:p w14:paraId="0D6CAD95">
      <w:pPr>
        <w:pStyle w:val="4"/>
        <w:spacing w:before="200" w:after="60" w:line="288" w:lineRule="auto"/>
      </w:pPr>
      <w:r>
        <w:rPr>
          <w:rFonts w:hint="eastAsia" w:ascii="微软雅黑" w:hAnsi="微软雅黑" w:eastAsia="微软雅黑" w:cs="微软雅黑"/>
          <w:b/>
          <w:color w:val="000000"/>
          <w:sz w:val="23"/>
        </w:rPr>
        <w:t>5.1 命令行用法</w:t>
      </w:r>
    </w:p>
    <w:p w14:paraId="551F8B56">
      <w:pPr>
        <w:spacing w:before="0" w:after="0" w:line="324" w:lineRule="auto"/>
        <w:ind w:left="283"/>
      </w:pPr>
      <w:r>
        <w:rPr>
          <w:rFonts w:hint="eastAsia" w:ascii="Consolas" w:hAnsi="Consolas" w:eastAsia="Consolas" w:cs="Consolas"/>
          <w:b w:val="0"/>
          <w:color w:val="000000"/>
          <w:sz w:val="19"/>
          <w:lang w:eastAsia="zh"/>
        </w:rPr>
        <w:t>./</w:t>
      </w:r>
      <w:r>
        <w:rPr>
          <w:rFonts w:ascii="Consolas" w:hAnsi="Consolas" w:eastAsia="Consolas" w:cs="Consolas"/>
          <w:b w:val="0"/>
          <w:color w:val="000000"/>
          <w:sz w:val="19"/>
        </w:rPr>
        <w:t>score &lt;guide&gt; \</w:t>
      </w:r>
    </w:p>
    <w:p w14:paraId="629EBFC1">
      <w:pPr>
        <w:spacing w:before="0" w:after="0" w:line="324" w:lineRule="auto"/>
        <w:ind w:left="283"/>
      </w:pPr>
      <w:r>
        <w:rPr>
          <w:rFonts w:ascii="Consolas" w:hAnsi="Consolas" w:eastAsia="Consolas" w:cs="Consolas"/>
          <w:b w:val="0"/>
          <w:color w:val="000000"/>
          <w:sz w:val="19"/>
        </w:rPr>
        <w:t xml:space="preserve">    --lefs &lt;lef&gt; --input-def &lt;def&gt; \</w:t>
      </w:r>
    </w:p>
    <w:p w14:paraId="643922C3">
      <w:pPr>
        <w:spacing w:before="0" w:after="120" w:line="324" w:lineRule="auto"/>
        <w:ind w:left="283"/>
      </w:pPr>
      <w:r>
        <w:rPr>
          <w:rFonts w:ascii="Consolas" w:hAnsi="Consolas" w:eastAsia="Consolas" w:cs="Consolas"/>
          <w:b w:val="0"/>
          <w:color w:val="000000"/>
          <w:sz w:val="19"/>
        </w:rPr>
        <w:t xml:space="preserve">    --thermal-json &lt;json&gt; --output-dir &lt;dir&gt;</w:t>
      </w:r>
    </w:p>
    <w:p w14:paraId="1E2E4FE8">
      <w:pPr>
        <w:pStyle w:val="4"/>
        <w:spacing w:before="200" w:after="60" w:line="288" w:lineRule="auto"/>
      </w:pPr>
      <w:r>
        <w:rPr>
          <w:rFonts w:hint="eastAsia" w:ascii="微软雅黑" w:hAnsi="微软雅黑" w:eastAsia="微软雅黑" w:cs="微软雅黑"/>
          <w:b/>
          <w:color w:val="000000"/>
          <w:sz w:val="23"/>
        </w:rPr>
        <w:t>5.2 输入文件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198"/>
        <w:gridCol w:w="4000"/>
        <w:gridCol w:w="3099"/>
      </w:tblGrid>
      <w:tr w14:paraId="28ACEDD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tblHeader/>
          <w:jc w:val="center"/>
        </w:trPr>
        <w:tc>
          <w:tcPr>
            <w:tcW w:w="2198" w:type="dxa"/>
            <w:shd w:val="clear" w:color="auto" w:fill="1F3864"/>
            <w:vAlign w:val="center"/>
          </w:tcPr>
          <w:p w14:paraId="2BE9DCF5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w="4000" w:type="dxa"/>
            <w:shd w:val="clear" w:color="auto" w:fill="1F3864"/>
            <w:vAlign w:val="center"/>
          </w:tcPr>
          <w:p w14:paraId="70D54868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关键内容</w:t>
            </w:r>
          </w:p>
        </w:tc>
        <w:tc>
          <w:tcPr>
            <w:tcW w:w="3099" w:type="dxa"/>
            <w:shd w:val="clear" w:color="auto" w:fill="1F3864"/>
            <w:vAlign w:val="center"/>
          </w:tcPr>
          <w:p w14:paraId="10656D1D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用途</w:t>
            </w:r>
          </w:p>
        </w:tc>
      </w:tr>
      <w:tr w14:paraId="05C5B48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2198" w:type="dxa"/>
            <w:vAlign w:val="center"/>
          </w:tcPr>
          <w:p w14:paraId="3308401E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GUIDE（布线结果）</w:t>
            </w:r>
          </w:p>
        </w:tc>
        <w:tc>
          <w:tcPr>
            <w:tcW w:w="4000" w:type="dxa"/>
            <w:vAlign w:val="center"/>
          </w:tcPr>
          <w:p w14:paraId="6270B6D1">
            <w:pPr>
              <w:spacing w:before="40" w:after="40" w:line="288" w:lineRule="auto"/>
              <w:jc w:val="left"/>
              <w:rPr>
                <w:rFonts w:hint="eastAsia" w:eastAsia="微软雅黑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 xml:space="preserve">每个 net 的名称与矩形列表，格式为 x1 y1 x2 y2 </w:t>
            </w:r>
            <w:r>
              <w:rPr>
                <w:rFonts w:hint="eastAsia" w:cs="微软雅黑"/>
                <w:b w:val="0"/>
                <w:color w:val="000000"/>
                <w:sz w:val="20"/>
                <w:lang w:eastAsia="zh"/>
              </w:rPr>
              <w:t>layer</w:t>
            </w:r>
          </w:p>
        </w:tc>
        <w:tc>
          <w:tcPr>
            <w:tcW w:w="3099" w:type="dxa"/>
            <w:vAlign w:val="center"/>
          </w:tcPr>
          <w:p w14:paraId="1396287C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合法性检查与三项指标的被评对象</w:t>
            </w:r>
          </w:p>
        </w:tc>
      </w:tr>
      <w:tr w14:paraId="06B5C6E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2198" w:type="dxa"/>
            <w:shd w:val="clear" w:color="auto" w:fill="EEF2F8"/>
            <w:vAlign w:val="center"/>
          </w:tcPr>
          <w:p w14:paraId="022E8022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DEF</w:t>
            </w:r>
          </w:p>
        </w:tc>
        <w:tc>
          <w:tcPr>
            <w:tcW w:w="4000" w:type="dxa"/>
            <w:shd w:val="clear" w:color="auto" w:fill="EEF2F8"/>
            <w:vAlign w:val="center"/>
          </w:tcPr>
          <w:p w14:paraId="64825672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UNITS DISTANCE MICRONS、DIEAREA、TRACKS、GCELLGRID、net 连接关系</w:t>
            </w:r>
          </w:p>
        </w:tc>
        <w:tc>
          <w:tcPr>
            <w:tcW w:w="3099" w:type="dxa"/>
            <w:shd w:val="clear" w:color="auto" w:fill="EEF2F8"/>
            <w:vAlign w:val="center"/>
          </w:tcPr>
          <w:p w14:paraId="6393CA61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提供版图范围、布线容量、网格与引脚信息</w:t>
            </w:r>
          </w:p>
        </w:tc>
      </w:tr>
      <w:tr w14:paraId="133414E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2198" w:type="dxa"/>
            <w:vAlign w:val="center"/>
          </w:tcPr>
          <w:p w14:paraId="18E4C9A2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LEF</w:t>
            </w:r>
          </w:p>
        </w:tc>
        <w:tc>
          <w:tcPr>
            <w:tcW w:w="4000" w:type="dxa"/>
            <w:vAlign w:val="center"/>
          </w:tcPr>
          <w:p w14:paraId="379D66C8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Routing 层与 Cut 层定义、Via 与层叠信息、宏单元引脚与障碍</w:t>
            </w:r>
          </w:p>
        </w:tc>
        <w:tc>
          <w:tcPr>
            <w:tcW w:w="3099" w:type="dxa"/>
            <w:vAlign w:val="center"/>
          </w:tcPr>
          <w:p w14:paraId="0FF6B1F5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提供层规则与障碍占用</w:t>
            </w:r>
          </w:p>
        </w:tc>
      </w:tr>
      <w:tr w14:paraId="4D9E211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2198" w:type="dxa"/>
            <w:shd w:val="clear" w:color="auto" w:fill="EEF2F8"/>
            <w:vAlign w:val="center"/>
          </w:tcPr>
          <w:p w14:paraId="6FF2912B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thermal JSON</w:t>
            </w:r>
          </w:p>
        </w:tc>
        <w:tc>
          <w:tcPr>
            <w:tcW w:w="4000" w:type="dxa"/>
            <w:shd w:val="clear" w:color="auto" w:fill="EEF2F8"/>
            <w:vAlign w:val="center"/>
          </w:tcPr>
          <w:p w14:paraId="030B390D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nodes 列表（x y z 温度）与 meta.ambientTemp</w:t>
            </w:r>
          </w:p>
        </w:tc>
        <w:tc>
          <w:tcPr>
            <w:tcW w:w="3099" w:type="dxa"/>
            <w:shd w:val="clear" w:color="auto" w:fill="EEF2F8"/>
            <w:vAlign w:val="center"/>
          </w:tcPr>
          <w:p w14:paraId="21E4384D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提供温度分布</w:t>
            </w:r>
          </w:p>
        </w:tc>
      </w:tr>
    </w:tbl>
    <w:p w14:paraId="0CA9CB2E">
      <w:pPr>
        <w:pStyle w:val="4"/>
        <w:spacing w:before="200" w:after="60" w:line="288" w:lineRule="auto"/>
      </w:pPr>
      <w:r>
        <w:rPr>
          <w:rFonts w:hint="eastAsia" w:ascii="微软雅黑" w:hAnsi="微软雅黑" w:eastAsia="微软雅黑" w:cs="微软雅黑"/>
          <w:b/>
          <w:color w:val="000000"/>
          <w:sz w:val="23"/>
        </w:rPr>
        <w:t>5.3 输出文件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4649"/>
        <w:gridCol w:w="4649"/>
      </w:tblGrid>
      <w:tr w14:paraId="734BAE3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tblHeader/>
          <w:jc w:val="center"/>
        </w:trPr>
        <w:tc>
          <w:tcPr>
            <w:tcW w:w="4649" w:type="dxa"/>
            <w:shd w:val="clear" w:color="auto" w:fill="1F3864"/>
            <w:vAlign w:val="center"/>
          </w:tcPr>
          <w:p w14:paraId="48752FAC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w="4649" w:type="dxa"/>
            <w:shd w:val="clear" w:color="auto" w:fill="1F3864"/>
            <w:vAlign w:val="center"/>
          </w:tcPr>
          <w:p w14:paraId="140DB61D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内容</w:t>
            </w:r>
          </w:p>
        </w:tc>
      </w:tr>
      <w:tr w14:paraId="7FBC692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4649" w:type="dxa"/>
            <w:vAlign w:val="center"/>
          </w:tcPr>
          <w:p w14:paraId="0FF32F52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evaluation_report.json</w:t>
            </w:r>
          </w:p>
        </w:tc>
        <w:tc>
          <w:tcPr>
            <w:tcW w:w="4649" w:type="dxa"/>
            <w:vAlign w:val="center"/>
          </w:tcPr>
          <w:p w14:paraId="6CD5F148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评测结论、三项得分、网格信息与警告，status 为 PASS 或 FAIL</w:t>
            </w:r>
          </w:p>
        </w:tc>
      </w:tr>
      <w:tr w14:paraId="6289F77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4649" w:type="dxa"/>
            <w:vAlign w:val="center"/>
          </w:tcPr>
          <w:p w14:paraId="7D7C1971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heat_gcell.csv</w:t>
            </w:r>
          </w:p>
        </w:tc>
        <w:tc>
          <w:tcPr>
            <w:tcW w:w="4649" w:type="dxa"/>
            <w:vAlign w:val="center"/>
          </w:tcPr>
          <w:p w14:paraId="7D8FD8E9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每个 GCell 的温度</w:t>
            </w:r>
          </w:p>
        </w:tc>
      </w:tr>
      <w:tr w14:paraId="26DF302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4649" w:type="dxa"/>
            <w:shd w:val="clear" w:color="auto" w:fill="EEF2F8"/>
            <w:vAlign w:val="center"/>
          </w:tcPr>
          <w:p w14:paraId="2E15BA20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tsv_gcell.csv</w:t>
            </w:r>
          </w:p>
        </w:tc>
        <w:tc>
          <w:tcPr>
            <w:tcW w:w="4649" w:type="dxa"/>
            <w:shd w:val="clear" w:color="auto" w:fill="EEF2F8"/>
            <w:vAlign w:val="center"/>
          </w:tcPr>
          <w:p w14:paraId="1B76ACAD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每个 GCell 的 TSV 数量</w:t>
            </w:r>
          </w:p>
        </w:tc>
      </w:tr>
      <w:tr w14:paraId="0B27894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4649" w:type="dxa"/>
            <w:vAlign w:val="center"/>
          </w:tcPr>
          <w:p w14:paraId="4831BF2E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thermal_node_count_per_gcell.csv</w:t>
            </w:r>
          </w:p>
        </w:tc>
        <w:tc>
          <w:tcPr>
            <w:tcW w:w="4649" w:type="dxa"/>
            <w:vAlign w:val="center"/>
          </w:tcPr>
          <w:p w14:paraId="34B5F5E5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每个 GCell 的温度节点数</w:t>
            </w:r>
          </w:p>
        </w:tc>
      </w:tr>
      <w:tr w14:paraId="2E99FAB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4649" w:type="dxa"/>
            <w:shd w:val="clear" w:color="auto" w:fill="EEF2F8"/>
            <w:vAlign w:val="center"/>
          </w:tcPr>
          <w:p w14:paraId="0DF6DFAC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tsv_points.csv</w:t>
            </w:r>
          </w:p>
        </w:tc>
        <w:tc>
          <w:tcPr>
            <w:tcW w:w="4649" w:type="dxa"/>
            <w:shd w:val="clear" w:color="auto" w:fill="EEF2F8"/>
            <w:vAlign w:val="center"/>
          </w:tcPr>
          <w:p w14:paraId="189189BF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提取到的 TSV 坐标、所属 GCell 以及上下层名</w:t>
            </w:r>
          </w:p>
        </w:tc>
      </w:tr>
      <w:tr w14:paraId="3A93F95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4649" w:type="dxa"/>
            <w:vAlign w:val="center"/>
          </w:tcPr>
          <w:p w14:paraId="48B22A61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overflow_gcells.csv</w:t>
            </w:r>
          </w:p>
        </w:tc>
        <w:tc>
          <w:tcPr>
            <w:tcW w:w="4649" w:type="dxa"/>
            <w:vAlign w:val="center"/>
          </w:tcPr>
          <w:p w14:paraId="3580C3B5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溢出的 GCell 与层、方向、需求量、容量</w:t>
            </w:r>
          </w:p>
        </w:tc>
      </w:tr>
    </w:tbl>
    <w:p w14:paraId="40EA4763">
      <w:pPr>
        <w:pStyle w:val="3"/>
        <w:spacing w:before="280" w:after="100" w:line="288" w:lineRule="auto"/>
      </w:pPr>
      <w:r>
        <w:rPr>
          <w:rFonts w:hint="eastAsia" w:ascii="微软雅黑" w:hAnsi="微软雅黑" w:eastAsia="微软雅黑" w:cs="微软雅黑"/>
          <w:b/>
          <w:color w:val="000000"/>
          <w:sz w:val="29"/>
        </w:rPr>
        <w:t>六、评测失败的提示与得分判定</w:t>
      </w:r>
    </w:p>
    <w:p w14:paraId="7C33151E">
      <w:pPr>
        <w:spacing w:before="0" w:after="120" w:line="324" w:lineRule="auto"/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评测失败时，程序在终端以红色高亮显示违反的规则、具体问题与修复建议。凡是能定位到具体数据的问题（例如缺少某个 net、某个引脚），提示里会直接给出缺失的键名与出错位置。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3099"/>
        <w:gridCol w:w="3099"/>
        <w:gridCol w:w="3099"/>
      </w:tblGrid>
      <w:tr w14:paraId="5174555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1F3864"/>
            <w:vAlign w:val="center"/>
          </w:tcPr>
          <w:p w14:paraId="5817A327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问题类别</w:t>
            </w:r>
          </w:p>
        </w:tc>
        <w:tc>
          <w:tcPr>
            <w:tcW w:w="4876" w:type="dxa"/>
            <w:shd w:val="clear" w:color="auto" w:fill="1F3864"/>
            <w:vAlign w:val="center"/>
          </w:tcPr>
          <w:p w14:paraId="3EFA0887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w="2608" w:type="dxa"/>
            <w:shd w:val="clear" w:color="auto" w:fill="1F3864"/>
            <w:vAlign w:val="center"/>
          </w:tcPr>
          <w:p w14:paraId="18214AEF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得分结论</w:t>
            </w:r>
          </w:p>
        </w:tc>
      </w:tr>
      <w:tr w14:paraId="2652751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9B5A3F0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合法性检查</w:t>
            </w:r>
          </w:p>
        </w:tc>
        <w:tc>
          <w:tcPr>
            <w:tcW w:w="4876" w:type="dxa"/>
            <w:vAlign w:val="center"/>
          </w:tcPr>
          <w:p w14:paraId="62AD5041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布线结果违反 S1 的规则</w:t>
            </w:r>
          </w:p>
        </w:tc>
        <w:tc>
          <w:tcPr>
            <w:tcW w:w="2608" w:type="dxa"/>
            <w:vAlign w:val="center"/>
          </w:tcPr>
          <w:p w14:paraId="6F862842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本测试用例 0 分</w:t>
            </w:r>
          </w:p>
        </w:tc>
      </w:tr>
      <w:tr w14:paraId="4B0DD18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1814" w:type="dxa"/>
            <w:shd w:val="clear" w:color="auto" w:fill="EEF2F8"/>
            <w:vAlign w:val="center"/>
          </w:tcPr>
          <w:p w14:paraId="37C8A599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运行效率</w:t>
            </w:r>
          </w:p>
        </w:tc>
        <w:tc>
          <w:tcPr>
            <w:tcW w:w="4876" w:type="dxa"/>
            <w:shd w:val="clear" w:color="auto" w:fill="EEF2F8"/>
            <w:vAlign w:val="center"/>
          </w:tcPr>
          <w:p w14:paraId="40770532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超出时间或内存硬性约束</w:t>
            </w:r>
          </w:p>
        </w:tc>
        <w:tc>
          <w:tcPr>
            <w:tcW w:w="2608" w:type="dxa"/>
            <w:shd w:val="clear" w:color="auto" w:fill="EEF2F8"/>
            <w:vAlign w:val="center"/>
          </w:tcPr>
          <w:p w14:paraId="11C55B89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本测试用例 0 分</w:t>
            </w:r>
          </w:p>
        </w:tc>
      </w:tr>
      <w:tr w14:paraId="324607B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AE574F5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输入文件</w:t>
            </w:r>
          </w:p>
        </w:tc>
        <w:tc>
          <w:tcPr>
            <w:tcW w:w="4876" w:type="dxa"/>
            <w:vAlign w:val="center"/>
          </w:tcPr>
          <w:p w14:paraId="4283767F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输入文件缺失或格式错误，无法评测</w:t>
            </w:r>
          </w:p>
        </w:tc>
        <w:tc>
          <w:tcPr>
            <w:tcW w:w="2608" w:type="dxa"/>
            <w:vAlign w:val="center"/>
          </w:tcPr>
          <w:p w14:paraId="7A02014B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评测中断，无法给出得分</w:t>
            </w:r>
          </w:p>
        </w:tc>
      </w:tr>
      <w:tr w14:paraId="31A4DBF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1814" w:type="dxa"/>
            <w:shd w:val="clear" w:color="auto" w:fill="EEF2F8"/>
            <w:vAlign w:val="center"/>
          </w:tcPr>
          <w:p w14:paraId="2665A797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程序内部错误</w:t>
            </w:r>
          </w:p>
        </w:tc>
        <w:tc>
          <w:tcPr>
            <w:tcW w:w="4876" w:type="dxa"/>
            <w:shd w:val="clear" w:color="auto" w:fill="EEF2F8"/>
            <w:vAlign w:val="center"/>
          </w:tcPr>
          <w:p w14:paraId="0EF16C8B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评分程序自身异常，正常不应出现</w:t>
            </w:r>
          </w:p>
        </w:tc>
        <w:tc>
          <w:tcPr>
            <w:tcW w:w="2608" w:type="dxa"/>
            <w:shd w:val="clear" w:color="auto" w:fill="EEF2F8"/>
            <w:vAlign w:val="center"/>
          </w:tcPr>
          <w:p w14:paraId="1F99E7C3">
            <w:pPr>
              <w:spacing w:before="40" w:after="40" w:line="288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评测中断，无法给出得分</w:t>
            </w:r>
          </w:p>
        </w:tc>
      </w:tr>
    </w:tbl>
    <w:p w14:paraId="7792B1DF">
      <w:pPr>
        <w:spacing w:before="0" w:after="120" w:line="324" w:lineRule="auto"/>
      </w:pPr>
    </w:p>
    <w:p w14:paraId="3B07E2A9">
      <w:pPr>
        <w:pStyle w:val="3"/>
        <w:spacing w:before="280" w:after="100" w:line="288" w:lineRule="auto"/>
      </w:pPr>
      <w:r>
        <w:rPr>
          <w:rFonts w:hint="eastAsia" w:ascii="微软雅黑" w:hAnsi="微软雅黑" w:eastAsia="微软雅黑" w:cs="微软雅黑"/>
          <w:b/>
          <w:color w:val="000000"/>
          <w:sz w:val="29"/>
        </w:rPr>
        <w:t>七、提交前自查</w:t>
      </w:r>
    </w:p>
    <w:p w14:paraId="420A4BD4">
      <w:pPr>
        <w:spacing w:after="60" w:line="312" w:lineRule="auto"/>
        <w:ind w:left="425" w:hanging="425"/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1. GUIDE 是否覆盖 DEF 中定义的全部 net，每个 net 的矩形是否连通，引脚是否被同层矩形覆盖。</w:t>
      </w:r>
    </w:p>
    <w:p w14:paraId="2556C9EC">
      <w:pPr>
        <w:spacing w:after="60" w:line="312" w:lineRule="auto"/>
        <w:ind w:left="425" w:hanging="425"/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2. 布线矩形是否都与 DIEAREA 有交集，使用的层是否都在 LEF 中声明为 Routing 层。</w:t>
      </w:r>
    </w:p>
    <w:p w14:paraId="1681ED72">
      <w:pPr>
        <w:spacing w:after="60" w:line="312" w:lineRule="auto"/>
        <w:ind w:left="425" w:hanging="425"/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3. 跨 Die 的 net 是否在 metal10 与 metal11 之间形成了唯一的 TSV 重叠区域。</w:t>
      </w:r>
    </w:p>
    <w:p w14:paraId="0745F43D">
      <w:pPr>
        <w:spacing w:after="60" w:line="312" w:lineRule="auto"/>
        <w:ind w:left="425" w:hanging="425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4. 线长是否接近 HPWL 基准，是否存在溢出的 GCell（含被 TSV 加过需求的格），TSV 是否朝向温度较高的区域。</w:t>
      </w:r>
    </w:p>
    <w:p w14:paraId="0AF5C134">
      <w:pPr>
        <w:spacing w:after="60" w:line="312" w:lineRule="auto"/>
        <w:ind w:left="425" w:hanging="425"/>
        <w:rPr>
          <w:rFonts w:hint="default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cs="微软雅黑"/>
          <w:b w:val="0"/>
          <w:color w:val="000000"/>
          <w:sz w:val="21"/>
          <w:lang w:val="en-US" w:eastAsia="zh-CN"/>
        </w:rPr>
        <w:t>5. top die的内部net是否只在top die的内部走线，bottom die的内部net是否只在bottom die的内部走线。</w:t>
      </w:r>
    </w:p>
    <w:p w14:paraId="4656FC83"/>
    <w:sectPr>
      <w:pgSz w:w="11906" w:h="16838"/>
      <w:pgMar w:top="1247" w:right="1304" w:bottom="1247" w:left="130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343470"/>
    <w:rsid w:val="33191ED2"/>
    <w:rsid w:val="3E051AA3"/>
    <w:rsid w:val="47DFE2AB"/>
    <w:rsid w:val="49BB2DA2"/>
    <w:rsid w:val="5BD82C39"/>
    <w:rsid w:val="76D87BAE"/>
    <w:rsid w:val="7FFDE402"/>
    <w:rsid w:val="9FBB2A9E"/>
    <w:rsid w:val="C9EA8CF4"/>
    <w:rsid w:val="D34B7B18"/>
    <w:rsid w:val="DDB71B56"/>
    <w:rsid w:val="F7DE563E"/>
    <w:rsid w:val="F7DF4D80"/>
    <w:rsid w:val="FBDF9763"/>
    <w:rsid w:val="FD5DACC2"/>
    <w:rsid w:val="FF73248A"/>
    <w:rsid w:val="FF9101D9"/>
    <w:rsid w:val="FFC7891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24" w:lineRule="auto"/>
    </w:pPr>
    <w:rPr>
      <w:rFonts w:ascii="微软雅黑" w:hAnsi="微软雅黑" w:eastAsia="微软雅黑" w:cs="微软雅黑"/>
      <w:color w:val="000000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148"/>
    <w:qFormat/>
    <w:uiPriority w:val="9"/>
    <w:pPr>
      <w:keepNext/>
      <w:keepLines/>
      <w:spacing w:before="480" w:after="0"/>
      <w:outlineLvl w:val="0"/>
    </w:pPr>
    <w:rPr>
      <w:rFonts w:ascii="微软雅黑" w:hAnsi="微软雅黑" w:eastAsia="微软雅黑" w:cs="微软雅黑"/>
      <w:b/>
      <w:bCs/>
      <w:color w:val="000000"/>
      <w:sz w:val="29"/>
      <w:szCs w:val="28"/>
      <w:lang w:val="en-US" w:eastAsia="zh-CN"/>
    </w:rPr>
  </w:style>
  <w:style w:type="paragraph" w:styleId="4">
    <w:name w:val="heading 2"/>
    <w:basedOn w:val="1"/>
    <w:next w:val="1"/>
    <w:link w:val="161"/>
    <w:unhideWhenUsed/>
    <w:qFormat/>
    <w:uiPriority w:val="9"/>
    <w:pPr>
      <w:keepNext/>
      <w:keepLines/>
      <w:spacing w:before="200" w:after="0"/>
      <w:outlineLvl w:val="1"/>
    </w:pPr>
    <w:rPr>
      <w:rFonts w:ascii="微软雅黑" w:hAnsi="微软雅黑" w:eastAsia="微软雅黑" w:cs="微软雅黑"/>
      <w:b/>
      <w:bCs/>
      <w:color w:val="000000"/>
      <w:sz w:val="23"/>
      <w:szCs w:val="26"/>
      <w:lang w:val="en-US" w:eastAsia="zh-CN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="微软雅黑" w:hAnsi="微软雅黑" w:eastAsia="微软雅黑" w:cs="微软雅黑"/>
      <w:b/>
      <w:bCs/>
      <w:color w:val="4F81BD" w:themeColor="accent1"/>
      <w:lang w:val="en-US" w:eastAsia="zh-CN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="微软雅黑" w:hAnsi="微软雅黑" w:eastAsia="微软雅黑" w:cs="微软雅黑"/>
      <w:b/>
      <w:bCs/>
      <w:i/>
      <w:iCs/>
      <w:color w:val="4F81BD" w:themeColor="accent1"/>
      <w:lang w:val="en-US" w:eastAsia="zh-CN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47"/>
    <w:semiHidden/>
    <w:unhideWhenUsed/>
    <w:qFormat/>
    <w:uiPriority w:val="9"/>
    <w:pPr>
      <w:keepNext/>
      <w:keepLines/>
      <w:spacing w:before="200" w:after="0"/>
      <w:outlineLvl w:val="4"/>
    </w:pPr>
    <w:rPr>
      <w:rFonts w:ascii="微软雅黑" w:hAnsi="微软雅黑" w:eastAsia="微软雅黑" w:cs="微软雅黑"/>
      <w:color w:val="254061" w:themeColor="accent1" w:themeShade="80"/>
      <w:lang w:val="en-US" w:eastAsia="zh-CN"/>
    </w:rPr>
  </w:style>
  <w:style w:type="paragraph" w:styleId="8">
    <w:name w:val="heading 6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5"/>
    </w:pPr>
    <w:rPr>
      <w:rFonts w:ascii="微软雅黑" w:hAnsi="微软雅黑" w:eastAsia="微软雅黑" w:cs="微软雅黑"/>
      <w:i/>
      <w:iCs/>
      <w:color w:val="254061" w:themeColor="accent1" w:themeShade="80"/>
      <w:lang w:val="en-US" w:eastAsia="zh-CN"/>
    </w:rPr>
  </w:style>
  <w:style w:type="paragraph" w:styleId="9">
    <w:name w:val="heading 7"/>
    <w:basedOn w:val="1"/>
    <w:next w:val="1"/>
    <w:link w:val="145"/>
    <w:semiHidden/>
    <w:unhideWhenUsed/>
    <w:qFormat/>
    <w:uiPriority w:val="9"/>
    <w:pPr>
      <w:keepNext/>
      <w:keepLines/>
      <w:spacing w:before="200" w:after="0"/>
      <w:outlineLvl w:val="6"/>
    </w:pPr>
    <w:rPr>
      <w:rFonts w:ascii="微软雅黑" w:hAnsi="微软雅黑" w:eastAsia="微软雅黑" w:cs="微软雅黑"/>
      <w:i/>
      <w:iCs/>
      <w:color w:val="404040" w:themeColor="text1" w:themeTint="BF"/>
      <w:lang w:val="en-US"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38"/>
    <w:semiHidden/>
    <w:unhideWhenUsed/>
    <w:qFormat/>
    <w:uiPriority w:val="9"/>
    <w:pPr>
      <w:keepNext/>
      <w:keepLines/>
      <w:spacing w:before="200" w:after="0"/>
      <w:outlineLvl w:val="7"/>
    </w:pPr>
    <w:rPr>
      <w:rFonts w:ascii="微软雅黑" w:hAnsi="微软雅黑" w:eastAsia="微软雅黑" w:cs="微软雅黑"/>
      <w:color w:val="4F81BD" w:themeColor="accent1"/>
      <w:sz w:val="20"/>
      <w:szCs w:val="20"/>
      <w:lang w:val="en-US" w:eastAsia="zh-CN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35"/>
    <w:semiHidden/>
    <w:unhideWhenUsed/>
    <w:qFormat/>
    <w:uiPriority w:val="9"/>
    <w:pPr>
      <w:keepNext/>
      <w:keepLines/>
      <w:spacing w:before="200" w:after="0"/>
      <w:outlineLvl w:val="8"/>
    </w:pPr>
    <w:rPr>
      <w:rFonts w:ascii="微软雅黑" w:hAnsi="微软雅黑" w:eastAsia="微软雅黑" w:cs="微软雅黑"/>
      <w:i/>
      <w:iCs/>
      <w:color w:val="404040" w:themeColor="text1" w:themeTint="BF"/>
      <w:sz w:val="20"/>
      <w:szCs w:val="20"/>
      <w:lang w:val="en-US"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微软雅黑" w:hAnsi="微软雅黑" w:eastAsia="微软雅黑" w:cs="微软雅黑"/>
      <w:sz w:val="20"/>
      <w:szCs w:val="20"/>
      <w:lang w:val="en-US" w:eastAsia="zh-CN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微软雅黑" w:hAnsi="微软雅黑" w:eastAsia="微软雅黑" w:cs="微软雅黑"/>
      <w:b/>
      <w:bCs/>
      <w:color w:val="4F81BD" w:themeColor="accent1"/>
      <w:sz w:val="18"/>
      <w:szCs w:val="18"/>
      <w:lang w:val="en-US" w:eastAsia="zh-CN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3"/>
    <w:unhideWhenUsed/>
    <w:qFormat/>
    <w:uiPriority w:val="99"/>
    <w:pPr>
      <w:spacing w:after="120"/>
    </w:pPr>
    <w:rPr>
      <w:rFonts w:ascii="微软雅黑" w:hAnsi="微软雅黑" w:eastAsia="微软雅黑" w:cs="微软雅黑"/>
      <w:sz w:val="16"/>
      <w:szCs w:val="16"/>
      <w:lang w:val="en-US" w:eastAsia="zh-CN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39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4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4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60"/>
    <w:qFormat/>
    <w:uiPriority w:val="11"/>
    <w:rPr>
      <w:rFonts w:ascii="微软雅黑" w:hAnsi="微软雅黑" w:eastAsia="微软雅黑" w:cs="微软雅黑"/>
      <w:i/>
      <w:iCs/>
      <w:color w:val="4F81BD" w:themeColor="accent1"/>
      <w:spacing w:val="15"/>
      <w:sz w:val="24"/>
      <w:szCs w:val="24"/>
      <w:lang w:val="en-US" w:eastAsia="zh-CN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63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55"/>
    <w:qFormat/>
    <w:uiPriority w:val="10"/>
    <w:pPr>
      <w:spacing w:after="80" w:line="276" w:lineRule="auto"/>
      <w:contextualSpacing/>
    </w:pPr>
    <w:rPr>
      <w:rFonts w:ascii="微软雅黑" w:hAnsi="微软雅黑" w:eastAsia="微软雅黑" w:cs="微软雅黑"/>
      <w:b/>
      <w:color w:val="000000"/>
      <w:spacing w:val="5"/>
      <w:kern w:val="28"/>
      <w:sz w:val="38"/>
      <w:szCs w:val="52"/>
      <w:lang w:val="en-US" w:eastAsia="zh-CN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rFonts w:ascii="微软雅黑" w:hAnsi="微软雅黑" w:eastAsia="微软雅黑" w:cs="微软雅黑"/>
      <w:color w:val="000000" w:themeColor="text1" w:themeShade="BF"/>
      <w:lang w:val="en-US" w:eastAsia="zh-CN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rFonts w:ascii="微软雅黑" w:hAnsi="微软雅黑" w:eastAsia="微软雅黑" w:cs="微软雅黑"/>
      <w:color w:val="376092" w:themeColor="accent1" w:themeShade="BF"/>
      <w:lang w:val="en-US" w:eastAsia="zh-CN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rFonts w:ascii="微软雅黑" w:hAnsi="微软雅黑" w:eastAsia="微软雅黑" w:cs="微软雅黑"/>
      <w:color w:val="953735" w:themeColor="accent2" w:themeShade="BF"/>
      <w:lang w:val="en-US" w:eastAsia="zh-CN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rFonts w:ascii="微软雅黑" w:hAnsi="微软雅黑" w:eastAsia="微软雅黑" w:cs="微软雅黑"/>
      <w:color w:val="77933C" w:themeColor="accent3" w:themeShade="BF"/>
      <w:lang w:val="en-US" w:eastAsia="zh-CN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rFonts w:ascii="微软雅黑" w:hAnsi="微软雅黑" w:eastAsia="微软雅黑" w:cs="微软雅黑"/>
      <w:color w:val="604A7B" w:themeColor="accent4" w:themeShade="BF"/>
      <w:lang w:val="en-US" w:eastAsia="zh-CN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rFonts w:ascii="微软雅黑" w:hAnsi="微软雅黑" w:eastAsia="微软雅黑" w:cs="微软雅黑"/>
      <w:color w:val="31859C" w:themeColor="accent5" w:themeShade="BF"/>
      <w:lang w:val="en-US" w:eastAsia="zh-CN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rFonts w:ascii="微软雅黑" w:hAnsi="微软雅黑" w:eastAsia="微软雅黑" w:cs="微软雅黑"/>
      <w:color w:val="E46C0A" w:themeColor="accent6" w:themeShade="BF"/>
      <w:lang w:val="en-US" w:eastAsia="zh-CN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rFonts w:ascii="微软雅黑" w:hAnsi="微软雅黑" w:eastAsia="微软雅黑" w:cs="微软雅黑"/>
      <w:color w:val="FFFFFF" w:themeColor="background1"/>
      <w:lang w:val="en-US" w:eastAsia="zh-CN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rFonts w:ascii="微软雅黑" w:hAnsi="微软雅黑" w:eastAsia="微软雅黑" w:cs="微软雅黑"/>
      <w:color w:val="FFFFFF" w:themeColor="background1"/>
      <w:lang w:val="en-US" w:eastAsia="zh-CN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rFonts w:ascii="微软雅黑" w:hAnsi="微软雅黑" w:eastAsia="微软雅黑" w:cs="微软雅黑"/>
      <w:color w:val="FFFFFF" w:themeColor="background1"/>
      <w:lang w:val="en-US" w:eastAsia="zh-CN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rFonts w:ascii="微软雅黑" w:hAnsi="微软雅黑" w:eastAsia="微软雅黑" w:cs="微软雅黑"/>
      <w:color w:val="FFFFFF" w:themeColor="background1"/>
      <w:lang w:val="en-US" w:eastAsia="zh-CN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rFonts w:ascii="微软雅黑" w:hAnsi="微软雅黑" w:eastAsia="微软雅黑" w:cs="微软雅黑"/>
      <w:color w:val="FFFFFF" w:themeColor="background1"/>
      <w:lang w:val="en-US" w:eastAsia="zh-CN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rFonts w:ascii="微软雅黑" w:hAnsi="微软雅黑" w:eastAsia="微软雅黑" w:cs="微软雅黑"/>
      <w:color w:val="FFFFFF" w:themeColor="background1"/>
      <w:lang w:val="en-US" w:eastAsia="zh-CN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rFonts w:ascii="微软雅黑" w:hAnsi="微软雅黑" w:eastAsia="微软雅黑" w:cs="微软雅黑"/>
      <w:color w:val="FFFFFF" w:themeColor="background1"/>
      <w:lang w:val="en-US" w:eastAsia="zh-CN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en-US" w:eastAsia="zh-CN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ascii="微软雅黑" w:hAnsi="微软雅黑" w:eastAsia="微软雅黑" w:cs="微软雅黑"/>
      <w:b/>
      <w:bCs/>
      <w:lang w:val="en-US" w:eastAsia="zh-CN"/>
    </w:rPr>
  </w:style>
  <w:style w:type="character" w:styleId="134">
    <w:name w:val="Emphasis"/>
    <w:basedOn w:val="132"/>
    <w:qFormat/>
    <w:uiPriority w:val="20"/>
    <w:rPr>
      <w:rFonts w:ascii="微软雅黑" w:hAnsi="微软雅黑" w:eastAsia="微软雅黑" w:cs="微软雅黑"/>
      <w:i/>
      <w:iCs/>
      <w:lang w:val="en-US" w:eastAsia="zh-CN"/>
    </w:rPr>
  </w:style>
  <w:style w:type="character" w:customStyle="1" w:styleId="135">
    <w:name w:val="Heading 9 Char"/>
    <w:basedOn w:val="132"/>
    <w:link w:val="11"/>
    <w:semiHidden/>
    <w:qFormat/>
    <w:uiPriority w:val="9"/>
    <w:rPr>
      <w:rFonts w:ascii="微软雅黑" w:hAnsi="微软雅黑" w:eastAsia="微软雅黑" w:cs="微软雅黑"/>
      <w:i/>
      <w:iCs/>
      <w:color w:val="404040" w:themeColor="text1" w:themeTint="BF"/>
      <w:sz w:val="20"/>
      <w:szCs w:val="20"/>
      <w:lang w:val="en-US"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36">
    <w:name w:val="Intense Emphasis"/>
    <w:basedOn w:val="132"/>
    <w:qFormat/>
    <w:uiPriority w:val="21"/>
    <w:rPr>
      <w:rFonts w:ascii="微软雅黑" w:hAnsi="微软雅黑" w:eastAsia="微软雅黑" w:cs="微软雅黑"/>
      <w:b/>
      <w:bCs/>
      <w:i/>
      <w:iCs/>
      <w:color w:val="4F81BD" w:themeColor="accent1"/>
      <w:lang w:val="en-US" w:eastAsia="zh-CN"/>
      <w14:textFill>
        <w14:solidFill>
          <w14:schemeClr w14:val="accent1"/>
        </w14:solidFill>
      </w14:textFill>
    </w:rPr>
  </w:style>
  <w:style w:type="paragraph" w:styleId="137">
    <w:name w:val="Quote"/>
    <w:basedOn w:val="1"/>
    <w:next w:val="1"/>
    <w:link w:val="162"/>
    <w:qFormat/>
    <w:uiPriority w:val="29"/>
    <w:rPr>
      <w:rFonts w:ascii="微软雅黑" w:hAnsi="微软雅黑" w:eastAsia="微软雅黑" w:cs="微软雅黑"/>
      <w:i/>
      <w:iCs/>
      <w:color w:val="000000" w:themeColor="text1"/>
      <w:lang w:val="en-US" w:eastAsia="zh-CN"/>
      <w14:textFill>
        <w14:solidFill>
          <w14:schemeClr w14:val="tx1"/>
        </w14:solidFill>
      </w14:textFill>
    </w:rPr>
  </w:style>
  <w:style w:type="character" w:customStyle="1" w:styleId="138">
    <w:name w:val="Heading 8 Char"/>
    <w:basedOn w:val="132"/>
    <w:link w:val="10"/>
    <w:semiHidden/>
    <w:qFormat/>
    <w:uiPriority w:val="9"/>
    <w:rPr>
      <w:rFonts w:ascii="微软雅黑" w:hAnsi="微软雅黑" w:eastAsia="微软雅黑" w:cs="微软雅黑"/>
      <w:color w:val="4F81BD" w:themeColor="accent1"/>
      <w:sz w:val="20"/>
      <w:szCs w:val="20"/>
      <w:lang w:val="en-US" w:eastAsia="zh-CN"/>
      <w14:textFill>
        <w14:solidFill>
          <w14:schemeClr w14:val="accent1"/>
        </w14:solidFill>
      </w14:textFill>
    </w:rPr>
  </w:style>
  <w:style w:type="character" w:customStyle="1" w:styleId="139">
    <w:name w:val="Body Text Char"/>
    <w:basedOn w:val="132"/>
    <w:link w:val="19"/>
    <w:qFormat/>
    <w:uiPriority w:val="99"/>
  </w:style>
  <w:style w:type="character" w:customStyle="1" w:styleId="140">
    <w:name w:val="Macro Text Char"/>
    <w:basedOn w:val="132"/>
    <w:link w:val="2"/>
    <w:qFormat/>
    <w:uiPriority w:val="99"/>
    <w:rPr>
      <w:rFonts w:ascii="微软雅黑" w:hAnsi="微软雅黑" w:eastAsia="微软雅黑" w:cs="微软雅黑"/>
      <w:sz w:val="20"/>
      <w:szCs w:val="20"/>
      <w:lang w:val="en-US" w:eastAsia="zh-CN"/>
    </w:rPr>
  </w:style>
  <w:style w:type="character" w:customStyle="1" w:styleId="141">
    <w:name w:val="Heading 3 Char"/>
    <w:basedOn w:val="132"/>
    <w:link w:val="5"/>
    <w:qFormat/>
    <w:uiPriority w:val="9"/>
    <w:rPr>
      <w:rFonts w:ascii="微软雅黑" w:hAnsi="微软雅黑" w:eastAsia="微软雅黑" w:cs="微软雅黑"/>
      <w:b/>
      <w:bCs/>
      <w:color w:val="4F81BD" w:themeColor="accent1"/>
      <w:lang w:val="en-US" w:eastAsia="zh-CN"/>
      <w14:textFill>
        <w14:solidFill>
          <w14:schemeClr w14:val="accent1"/>
        </w14:solidFill>
      </w14:textFill>
    </w:rPr>
  </w:style>
  <w:style w:type="paragraph" w:styleId="142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微软雅黑" w:hAnsi="微软雅黑" w:eastAsia="微软雅黑" w:cs="微软雅黑"/>
      <w:b/>
      <w:bCs/>
      <w:i/>
      <w:iCs/>
      <w:color w:val="4F81BD" w:themeColor="accent1"/>
      <w:lang w:val="en-US" w:eastAsia="zh-CN"/>
      <w14:textFill>
        <w14:solidFill>
          <w14:schemeClr w14:val="accent1"/>
        </w14:solidFill>
      </w14:textFill>
    </w:rPr>
  </w:style>
  <w:style w:type="character" w:customStyle="1" w:styleId="143">
    <w:name w:val="Body Text 3 Char"/>
    <w:basedOn w:val="132"/>
    <w:link w:val="17"/>
    <w:qFormat/>
    <w:uiPriority w:val="99"/>
    <w:rPr>
      <w:rFonts w:ascii="微软雅黑" w:hAnsi="微软雅黑" w:eastAsia="微软雅黑" w:cs="微软雅黑"/>
      <w:sz w:val="16"/>
      <w:szCs w:val="16"/>
      <w:lang w:val="en-US" w:eastAsia="zh-CN"/>
    </w:rPr>
  </w:style>
  <w:style w:type="character" w:customStyle="1" w:styleId="144">
    <w:name w:val="Book Title"/>
    <w:basedOn w:val="132"/>
    <w:qFormat/>
    <w:uiPriority w:val="33"/>
    <w:rPr>
      <w:rFonts w:ascii="微软雅黑" w:hAnsi="微软雅黑" w:eastAsia="微软雅黑" w:cs="微软雅黑"/>
      <w:b/>
      <w:bCs/>
      <w:smallCaps/>
      <w:spacing w:val="5"/>
      <w:lang w:val="en-US" w:eastAsia="zh-CN"/>
    </w:rPr>
  </w:style>
  <w:style w:type="character" w:customStyle="1" w:styleId="145">
    <w:name w:val="Heading 7 Char"/>
    <w:basedOn w:val="132"/>
    <w:link w:val="9"/>
    <w:semiHidden/>
    <w:qFormat/>
    <w:uiPriority w:val="9"/>
    <w:rPr>
      <w:rFonts w:ascii="微软雅黑" w:hAnsi="微软雅黑" w:eastAsia="微软雅黑" w:cs="微软雅黑"/>
      <w:i/>
      <w:iCs/>
      <w:color w:val="404040" w:themeColor="text1" w:themeTint="BF"/>
      <w:lang w:val="en-US"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46">
    <w:name w:val="Footer Char"/>
    <w:basedOn w:val="132"/>
    <w:link w:val="24"/>
    <w:qFormat/>
    <w:uiPriority w:val="99"/>
  </w:style>
  <w:style w:type="character" w:customStyle="1" w:styleId="147">
    <w:name w:val="Heading 5 Char"/>
    <w:basedOn w:val="132"/>
    <w:link w:val="7"/>
    <w:semiHidden/>
    <w:qFormat/>
    <w:uiPriority w:val="9"/>
    <w:rPr>
      <w:rFonts w:ascii="微软雅黑" w:hAnsi="微软雅黑" w:eastAsia="微软雅黑" w:cs="微软雅黑"/>
      <w:color w:val="254061" w:themeColor="accent1" w:themeShade="80"/>
      <w:lang w:val="en-US" w:eastAsia="zh-CN"/>
    </w:rPr>
  </w:style>
  <w:style w:type="character" w:customStyle="1" w:styleId="148">
    <w:name w:val="Heading 1 Char"/>
    <w:basedOn w:val="132"/>
    <w:link w:val="3"/>
    <w:qFormat/>
    <w:uiPriority w:val="9"/>
    <w:rPr>
      <w:rFonts w:ascii="微软雅黑" w:hAnsi="微软雅黑" w:eastAsia="微软雅黑" w:cs="微软雅黑"/>
      <w:b/>
      <w:bCs/>
      <w:color w:val="376092" w:themeColor="accent1" w:themeShade="BF"/>
      <w:sz w:val="28"/>
      <w:szCs w:val="28"/>
      <w:lang w:val="en-US" w:eastAsia="zh-CN"/>
    </w:rPr>
  </w:style>
  <w:style w:type="character" w:customStyle="1" w:styleId="149">
    <w:name w:val="Header Char"/>
    <w:basedOn w:val="132"/>
    <w:link w:val="25"/>
    <w:qFormat/>
    <w:uiPriority w:val="99"/>
  </w:style>
  <w:style w:type="character" w:customStyle="1" w:styleId="150">
    <w:name w:val="Subtle Reference"/>
    <w:basedOn w:val="132"/>
    <w:qFormat/>
    <w:uiPriority w:val="31"/>
    <w:rPr>
      <w:rFonts w:ascii="微软雅黑" w:hAnsi="微软雅黑" w:eastAsia="微软雅黑" w:cs="微软雅黑"/>
      <w:smallCaps/>
      <w:color w:val="C0504D" w:themeColor="accent2"/>
      <w:u w:val="single"/>
      <w:lang w:val="en-US" w:eastAsia="zh-CN"/>
      <w14:textFill>
        <w14:solidFill>
          <w14:schemeClr w14:val="accent2"/>
        </w14:solidFill>
      </w14:textFill>
    </w:rPr>
  </w:style>
  <w:style w:type="character" w:customStyle="1" w:styleId="151">
    <w:name w:val="Intense Reference"/>
    <w:basedOn w:val="132"/>
    <w:qFormat/>
    <w:uiPriority w:val="32"/>
    <w:rPr>
      <w:rFonts w:ascii="微软雅黑" w:hAnsi="微软雅黑" w:eastAsia="微软雅黑" w:cs="微软雅黑"/>
      <w:b/>
      <w:bCs/>
      <w:smallCaps/>
      <w:color w:val="C0504D" w:themeColor="accent2"/>
      <w:spacing w:val="5"/>
      <w:u w:val="single"/>
      <w:lang w:val="en-US" w:eastAsia="zh-CN"/>
      <w14:textFill>
        <w14:solidFill>
          <w14:schemeClr w14:val="accent2"/>
        </w14:solidFill>
      </w14:textFill>
    </w:rPr>
  </w:style>
  <w:style w:type="character" w:customStyle="1" w:styleId="152">
    <w:name w:val="Subtle Emphasis"/>
    <w:basedOn w:val="132"/>
    <w:qFormat/>
    <w:uiPriority w:val="19"/>
    <w:rPr>
      <w:rFonts w:ascii="微软雅黑" w:hAnsi="微软雅黑" w:eastAsia="微软雅黑" w:cs="微软雅黑"/>
      <w:i/>
      <w:iCs/>
      <w:color w:val="808080" w:themeColor="text1" w:themeTint="80"/>
      <w:lang w:val="en-US" w:eastAsia="zh-CN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3">
    <w:name w:val="Heading 4 Char"/>
    <w:basedOn w:val="132"/>
    <w:link w:val="6"/>
    <w:semiHidden/>
    <w:qFormat/>
    <w:uiPriority w:val="9"/>
    <w:rPr>
      <w:rFonts w:ascii="微软雅黑" w:hAnsi="微软雅黑" w:eastAsia="微软雅黑" w:cs="微软雅黑"/>
      <w:b/>
      <w:bCs/>
      <w:i/>
      <w:iCs/>
      <w:color w:val="4F81BD" w:themeColor="accent1"/>
      <w:lang w:val="en-US" w:eastAsia="zh-CN"/>
      <w14:textFill>
        <w14:solidFill>
          <w14:schemeClr w14:val="accent1"/>
        </w14:solidFill>
      </w14:textFill>
    </w:rPr>
  </w:style>
  <w:style w:type="paragraph" w:customStyle="1" w:styleId="154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55">
    <w:name w:val="Title Char"/>
    <w:basedOn w:val="132"/>
    <w:link w:val="31"/>
    <w:qFormat/>
    <w:uiPriority w:val="10"/>
    <w:rPr>
      <w:rFonts w:ascii="微软雅黑" w:hAnsi="微软雅黑" w:eastAsia="微软雅黑" w:cs="微软雅黑"/>
      <w:color w:val="17375E" w:themeColor="text2" w:themeShade="BF"/>
      <w:spacing w:val="5"/>
      <w:kern w:val="28"/>
      <w:sz w:val="52"/>
      <w:szCs w:val="52"/>
      <w:lang w:val="en-US" w:eastAsia="zh-CN"/>
    </w:rPr>
  </w:style>
  <w:style w:type="paragraph" w:styleId="156">
    <w:name w:val="List Paragraph"/>
    <w:basedOn w:val="1"/>
    <w:qFormat/>
    <w:uiPriority w:val="34"/>
    <w:pPr>
      <w:ind w:left="720"/>
      <w:contextualSpacing/>
    </w:pPr>
  </w:style>
  <w:style w:type="character" w:customStyle="1" w:styleId="157">
    <w:name w:val="Intense Quote Char"/>
    <w:basedOn w:val="132"/>
    <w:link w:val="142"/>
    <w:qFormat/>
    <w:uiPriority w:val="30"/>
    <w:rPr>
      <w:rFonts w:ascii="微软雅黑" w:hAnsi="微软雅黑" w:eastAsia="微软雅黑" w:cs="微软雅黑"/>
      <w:b/>
      <w:bCs/>
      <w:i/>
      <w:iCs/>
      <w:color w:val="4F81BD" w:themeColor="accent1"/>
      <w:lang w:val="en-US" w:eastAsia="zh-CN"/>
      <w14:textFill>
        <w14:solidFill>
          <w14:schemeClr w14:val="accent1"/>
        </w14:solidFill>
      </w14:textFill>
    </w:rPr>
  </w:style>
  <w:style w:type="character" w:customStyle="1" w:styleId="158">
    <w:name w:val="Heading 6 Char"/>
    <w:basedOn w:val="132"/>
    <w:link w:val="8"/>
    <w:semiHidden/>
    <w:qFormat/>
    <w:uiPriority w:val="9"/>
    <w:rPr>
      <w:rFonts w:ascii="微软雅黑" w:hAnsi="微软雅黑" w:eastAsia="微软雅黑" w:cs="微软雅黑"/>
      <w:i/>
      <w:iCs/>
      <w:color w:val="254061" w:themeColor="accent1" w:themeShade="80"/>
      <w:lang w:val="en-US" w:eastAsia="zh-CN"/>
    </w:rPr>
  </w:style>
  <w:style w:type="paragraph" w:styleId="159">
    <w:name w:val="No Spacing"/>
    <w:qFormat/>
    <w:uiPriority w:val="1"/>
    <w:pPr>
      <w:spacing w:after="0" w:line="240" w:lineRule="auto"/>
    </w:pPr>
    <w:rPr>
      <w:rFonts w:ascii="微软雅黑" w:hAnsi="微软雅黑" w:eastAsia="微软雅黑" w:cs="微软雅黑"/>
      <w:sz w:val="22"/>
      <w:szCs w:val="22"/>
      <w:lang w:val="en-US" w:eastAsia="zh-CN" w:bidi="ar-SA"/>
    </w:rPr>
  </w:style>
  <w:style w:type="character" w:customStyle="1" w:styleId="160">
    <w:name w:val="Subtitle Char"/>
    <w:basedOn w:val="132"/>
    <w:link w:val="26"/>
    <w:qFormat/>
    <w:uiPriority w:val="11"/>
    <w:rPr>
      <w:rFonts w:ascii="微软雅黑" w:hAnsi="微软雅黑" w:eastAsia="微软雅黑" w:cs="微软雅黑"/>
      <w:i/>
      <w:iCs/>
      <w:color w:val="4F81BD" w:themeColor="accent1"/>
      <w:spacing w:val="15"/>
      <w:sz w:val="24"/>
      <w:szCs w:val="24"/>
      <w:lang w:val="en-US" w:eastAsia="zh-CN"/>
      <w14:textFill>
        <w14:solidFill>
          <w14:schemeClr w14:val="accent1"/>
        </w14:solidFill>
      </w14:textFill>
    </w:rPr>
  </w:style>
  <w:style w:type="character" w:customStyle="1" w:styleId="161">
    <w:name w:val="Heading 2 Char"/>
    <w:basedOn w:val="132"/>
    <w:link w:val="4"/>
    <w:qFormat/>
    <w:uiPriority w:val="9"/>
    <w:rPr>
      <w:rFonts w:ascii="微软雅黑" w:hAnsi="微软雅黑" w:eastAsia="微软雅黑" w:cs="微软雅黑"/>
      <w:b/>
      <w:bCs/>
      <w:color w:val="4F81BD" w:themeColor="accent1"/>
      <w:sz w:val="26"/>
      <w:szCs w:val="26"/>
      <w:lang w:val="en-US" w:eastAsia="zh-CN"/>
      <w14:textFill>
        <w14:solidFill>
          <w14:schemeClr w14:val="accent1"/>
        </w14:solidFill>
      </w14:textFill>
    </w:rPr>
  </w:style>
  <w:style w:type="character" w:customStyle="1" w:styleId="162">
    <w:name w:val="Quote Char"/>
    <w:basedOn w:val="132"/>
    <w:link w:val="137"/>
    <w:qFormat/>
    <w:uiPriority w:val="29"/>
    <w:rPr>
      <w:rFonts w:ascii="微软雅黑" w:hAnsi="微软雅黑" w:eastAsia="微软雅黑" w:cs="微软雅黑"/>
      <w:i/>
      <w:iCs/>
      <w:color w:val="000000" w:themeColor="text1"/>
      <w:lang w:val="en-US" w:eastAsia="zh-CN"/>
      <w14:textFill>
        <w14:solidFill>
          <w14:schemeClr w14:val="tx1"/>
        </w14:solidFill>
      </w14:textFill>
    </w:rPr>
  </w:style>
  <w:style w:type="character" w:customStyle="1" w:styleId="163">
    <w:name w:val="Body Text 2 Char"/>
    <w:basedOn w:val="132"/>
    <w:link w:val="28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1129</Words>
  <Characters>1440</Characters>
  <TotalTime>69</TotalTime>
  <ScaleCrop>false</ScaleCrop>
  <LinksUpToDate>false</LinksUpToDate>
  <CharactersWithSpaces>1636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2026-10-11T13:06:00Z</dcterms:created>
  <dc:creator>DELL</dc:creator>
  <cp:lastModifiedBy>雅娟</cp:lastModifiedBy>
  <dcterms:modified xsi:type="dcterms:W3CDTF">2026-10-12T03:34:16Z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eyJoZGlkIjoiMjcxZmJlYmU2OTAyNDA3OGNhODJkZmRlNTAxOWU3NzYiLCJ1c2VySWQiOiI3NDEzNDYxMTYifQ==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4055AE18D2ABE7D0FAE1BC6A4B4F0ABE_43</vt:lpwstr>
  </property>
</Properties>
</file>