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r>
        <w:rPr>
          <w:rFonts w:ascii="Noto Sans CJK SC" w:hAnsi="Noto Sans CJK SC" w:eastAsia="Noto Sans CJK SC"/>
          <w:b/>
          <w:sz w:val="52"/>
        </w:rPr>
        <w:t>实习思想总结</w:t>
      </w:r>
    </w:p>
    <w:p>
      <w:pPr>
        <w:jc w:val="center"/>
      </w:pPr>
      <w:r>
        <w:rPr>
          <w:rFonts w:ascii="Noto Sans CJK SC" w:hAnsi="Noto Sans CJK SC" w:eastAsia="Noto Sans CJK SC"/>
          <w:b w:val="0"/>
          <w:color w:val="505050"/>
          <w:sz w:val="32"/>
        </w:rPr>
        <w:t>从单机调试到系统工程——五周实习的认识与成长</w:t>
      </w:r>
    </w:p>
    <w:p>
      <w:r>
        <w:br/>
        <w:br/>
      </w:r>
    </w:p>
    <w:tbl>
      <w:tblPr>
        <w:tblW w:type="auto" w:w="0"/>
        <w:jc w:val="center"/>
        <w:tblLayout w:type="fixed"/>
        <w:tblLook w:firstColumn="1" w:firstRow="1" w:lastColumn="0" w:lastRow="0" w:noHBand="0" w:noVBand="1" w:val="04A0"/>
      </w:tblPr>
      <w:tblGrid>
        <w:gridCol w:w="2268"/>
        <w:gridCol w:w="5102"/>
      </w:tblGrid>
      <w:tr>
        <w:tc>
          <w:tcPr>
            <w:tcW w:type="dxa" w:w="2268"/>
            <w:vAlign w:val="center"/>
            <w:tcMar>
              <w:top w:w="120" w:type="dxa"/>
              <w:start w:w="120" w:type="dxa"/>
              <w:bottom w:w="120" w:type="dxa"/>
              <w:end w:w="120" w:type="dxa"/>
            </w:tcMar>
            <w:tcBorders>
              <w:top w:val="nil"/>
              <w:left w:val="nil"/>
              <w:bottom w:val="nil"/>
              <w:right w:val="nil"/>
              <w:insideH w:val="nil"/>
              <w:insideV w:val="nil"/>
            </w:tcBorders>
          </w:tcPr>
          <w:p>
            <w:pPr>
              <w:jc w:val="right"/>
            </w:pPr>
            <w:r>
              <w:rPr>
                <w:rFonts w:ascii="Noto Sans CJK SC" w:hAnsi="Noto Sans CJK SC" w:eastAsia="Noto Sans CJK SC"/>
                <w:b/>
                <w:sz w:val="24"/>
              </w:rPr>
              <w:t>姓名：</w:t>
            </w:r>
          </w:p>
        </w:tc>
        <w:tc>
          <w:tcPr>
            <w:tcW w:type="dxa" w:w="5102"/>
            <w:vAlign w:val="center"/>
            <w:tcMar>
              <w:top w:w="120" w:type="dxa"/>
              <w:start w:w="120" w:type="dxa"/>
              <w:bottom w:w="120" w:type="dxa"/>
              <w:end w:w="120" w:type="dxa"/>
            </w:tcMar>
            <w:tcBorders>
              <w:top w:val="nil"/>
              <w:left w:val="nil"/>
              <w:bottom w:val="nil"/>
              <w:right w:val="nil"/>
              <w:insideH w:val="nil"/>
              <w:insideV w:val="nil"/>
            </w:tcBorders>
          </w:tcPr>
          <w:p>
            <w:pPr>
              <w:jc w:val="left"/>
            </w:pPr>
            <w:r>
              <w:rPr>
                <w:rFonts w:ascii="Noto Serif CJK SC" w:hAnsi="Noto Serif CJK SC" w:eastAsia="Noto Serif CJK SC"/>
                <w:sz w:val="24"/>
              </w:rPr>
              <w:t>许胜宏</w:t>
            </w:r>
          </w:p>
        </w:tc>
      </w:tr>
      <w:tr>
        <w:tc>
          <w:tcPr>
            <w:tcW w:type="dxa" w:w="2268"/>
            <w:vAlign w:val="center"/>
            <w:tcMar>
              <w:top w:w="120" w:type="dxa"/>
              <w:start w:w="120" w:type="dxa"/>
              <w:bottom w:w="120" w:type="dxa"/>
              <w:end w:w="120" w:type="dxa"/>
            </w:tcMar>
            <w:tcBorders>
              <w:top w:val="nil"/>
              <w:left w:val="nil"/>
              <w:bottom w:val="nil"/>
              <w:right w:val="nil"/>
              <w:insideH w:val="nil"/>
              <w:insideV w:val="nil"/>
            </w:tcBorders>
          </w:tcPr>
          <w:p>
            <w:pPr>
              <w:jc w:val="right"/>
            </w:pPr>
            <w:r>
              <w:rPr>
                <w:rFonts w:ascii="Noto Sans CJK SC" w:hAnsi="Noto Sans CJK SC" w:eastAsia="Noto Sans CJK SC"/>
                <w:b/>
                <w:sz w:val="24"/>
              </w:rPr>
              <w:t>专业：</w:t>
            </w:r>
          </w:p>
        </w:tc>
        <w:tc>
          <w:tcPr>
            <w:tcW w:type="dxa" w:w="5102"/>
            <w:vAlign w:val="center"/>
            <w:tcMar>
              <w:top w:w="120" w:type="dxa"/>
              <w:start w:w="120" w:type="dxa"/>
              <w:bottom w:w="120" w:type="dxa"/>
              <w:end w:w="120" w:type="dxa"/>
            </w:tcMar>
            <w:tcBorders>
              <w:top w:val="nil"/>
              <w:left w:val="nil"/>
              <w:bottom w:val="nil"/>
              <w:right w:val="nil"/>
              <w:insideH w:val="nil"/>
              <w:insideV w:val="nil"/>
            </w:tcBorders>
          </w:tcPr>
          <w:p>
            <w:pPr>
              <w:jc w:val="left"/>
            </w:pPr>
            <w:r>
              <w:rPr>
                <w:rFonts w:ascii="Noto Serif CJK SC" w:hAnsi="Noto Serif CJK SC" w:eastAsia="Noto Serif CJK SC"/>
                <w:sz w:val="24"/>
              </w:rPr>
              <w:t>电子工程相关专业</w:t>
            </w:r>
          </w:p>
        </w:tc>
      </w:tr>
      <w:tr>
        <w:tc>
          <w:tcPr>
            <w:tcW w:type="dxa" w:w="2268"/>
            <w:vAlign w:val="center"/>
            <w:tcMar>
              <w:top w:w="120" w:type="dxa"/>
              <w:start w:w="120" w:type="dxa"/>
              <w:bottom w:w="120" w:type="dxa"/>
              <w:end w:w="120" w:type="dxa"/>
            </w:tcMar>
            <w:tcBorders>
              <w:top w:val="nil"/>
              <w:left w:val="nil"/>
              <w:bottom w:val="nil"/>
              <w:right w:val="nil"/>
              <w:insideH w:val="nil"/>
              <w:insideV w:val="nil"/>
            </w:tcBorders>
          </w:tcPr>
          <w:p>
            <w:pPr>
              <w:jc w:val="right"/>
            </w:pPr>
            <w:r>
              <w:rPr>
                <w:rFonts w:ascii="Noto Sans CJK SC" w:hAnsi="Noto Sans CJK SC" w:eastAsia="Noto Sans CJK SC"/>
                <w:b/>
                <w:sz w:val="24"/>
              </w:rPr>
              <w:t>实习单位：</w:t>
            </w:r>
          </w:p>
        </w:tc>
        <w:tc>
          <w:tcPr>
            <w:tcW w:type="dxa" w:w="5102"/>
            <w:vAlign w:val="center"/>
            <w:tcMar>
              <w:top w:w="120" w:type="dxa"/>
              <w:start w:w="120" w:type="dxa"/>
              <w:bottom w:w="120" w:type="dxa"/>
              <w:end w:w="120" w:type="dxa"/>
            </w:tcMar>
            <w:tcBorders>
              <w:top w:val="nil"/>
              <w:left w:val="nil"/>
              <w:bottom w:val="nil"/>
              <w:right w:val="nil"/>
              <w:insideH w:val="nil"/>
              <w:insideV w:val="nil"/>
            </w:tcBorders>
          </w:tcPr>
          <w:p>
            <w:pPr>
              <w:jc w:val="left"/>
            </w:pPr>
            <w:r>
              <w:rPr>
                <w:rFonts w:ascii="Noto Serif CJK SC" w:hAnsi="Noto Serif CJK SC" w:eastAsia="Noto Serif CJK SC"/>
                <w:sz w:val="24"/>
              </w:rPr>
              <w:t>____________________________</w:t>
            </w:r>
          </w:p>
        </w:tc>
      </w:tr>
      <w:tr>
        <w:tc>
          <w:tcPr>
            <w:tcW w:type="dxa" w:w="2268"/>
            <w:vAlign w:val="center"/>
            <w:tcMar>
              <w:top w:w="120" w:type="dxa"/>
              <w:start w:w="120" w:type="dxa"/>
              <w:bottom w:w="120" w:type="dxa"/>
              <w:end w:w="120" w:type="dxa"/>
            </w:tcMar>
            <w:tcBorders>
              <w:top w:val="nil"/>
              <w:left w:val="nil"/>
              <w:bottom w:val="nil"/>
              <w:right w:val="nil"/>
              <w:insideH w:val="nil"/>
              <w:insideV w:val="nil"/>
            </w:tcBorders>
          </w:tcPr>
          <w:p>
            <w:pPr>
              <w:jc w:val="right"/>
            </w:pPr>
            <w:r>
              <w:rPr>
                <w:rFonts w:ascii="Noto Sans CJK SC" w:hAnsi="Noto Sans CJK SC" w:eastAsia="Noto Sans CJK SC"/>
                <w:b/>
                <w:sz w:val="24"/>
              </w:rPr>
              <w:t>实习时间：</w:t>
            </w:r>
          </w:p>
        </w:tc>
        <w:tc>
          <w:tcPr>
            <w:tcW w:type="dxa" w:w="5102"/>
            <w:vAlign w:val="center"/>
            <w:tcMar>
              <w:top w:w="120" w:type="dxa"/>
              <w:start w:w="120" w:type="dxa"/>
              <w:bottom w:w="120" w:type="dxa"/>
              <w:end w:w="120" w:type="dxa"/>
            </w:tcMar>
            <w:tcBorders>
              <w:top w:val="nil"/>
              <w:left w:val="nil"/>
              <w:bottom w:val="nil"/>
              <w:right w:val="nil"/>
              <w:insideH w:val="nil"/>
              <w:insideV w:val="nil"/>
            </w:tcBorders>
          </w:tcPr>
          <w:p>
            <w:pPr>
              <w:jc w:val="left"/>
            </w:pPr>
            <w:r>
              <w:rPr>
                <w:rFonts w:ascii="Noto Serif CJK SC" w:hAnsi="Noto Serif CJK SC" w:eastAsia="Noto Serif CJK SC"/>
                <w:sz w:val="24"/>
              </w:rPr>
              <w:t>五周</w:t>
            </w:r>
          </w:p>
        </w:tc>
      </w:tr>
      <w:tr>
        <w:tc>
          <w:tcPr>
            <w:tcW w:type="dxa" w:w="2268"/>
            <w:vAlign w:val="center"/>
            <w:tcMar>
              <w:top w:w="120" w:type="dxa"/>
              <w:start w:w="120" w:type="dxa"/>
              <w:bottom w:w="120" w:type="dxa"/>
              <w:end w:w="120" w:type="dxa"/>
            </w:tcMar>
            <w:tcBorders>
              <w:top w:val="nil"/>
              <w:left w:val="nil"/>
              <w:bottom w:val="nil"/>
              <w:right w:val="nil"/>
              <w:insideH w:val="nil"/>
              <w:insideV w:val="nil"/>
            </w:tcBorders>
          </w:tcPr>
          <w:p>
            <w:pPr>
              <w:jc w:val="right"/>
            </w:pPr>
            <w:r>
              <w:rPr>
                <w:rFonts w:ascii="Noto Sans CJK SC" w:hAnsi="Noto Sans CJK SC" w:eastAsia="Noto Sans CJK SC"/>
                <w:b/>
                <w:sz w:val="24"/>
              </w:rPr>
              <w:t>提交日期：</w:t>
            </w:r>
          </w:p>
        </w:tc>
        <w:tc>
          <w:tcPr>
            <w:tcW w:type="dxa" w:w="5102"/>
            <w:vAlign w:val="center"/>
            <w:tcMar>
              <w:top w:w="120" w:type="dxa"/>
              <w:start w:w="120" w:type="dxa"/>
              <w:bottom w:w="120" w:type="dxa"/>
              <w:end w:w="120" w:type="dxa"/>
            </w:tcMar>
            <w:tcBorders>
              <w:top w:val="nil"/>
              <w:left w:val="nil"/>
              <w:bottom w:val="nil"/>
              <w:right w:val="nil"/>
              <w:insideH w:val="nil"/>
              <w:insideV w:val="nil"/>
            </w:tcBorders>
          </w:tcPr>
          <w:p>
            <w:pPr>
              <w:jc w:val="left"/>
            </w:pPr>
            <w:r>
              <w:rPr>
                <w:rFonts w:ascii="Noto Serif CJK SC" w:hAnsi="Noto Serif CJK SC" w:eastAsia="Noto Serif CJK SC"/>
                <w:sz w:val="24"/>
              </w:rPr>
              <w:t>2026 年 ____ 月 ____ 日</w:t>
            </w:r>
          </w:p>
        </w:tc>
      </w:tr>
    </w:tbl>
    <w:p>
      <w:r>
        <w:br w:type="page"/>
      </w:r>
    </w:p>
    <w:p>
      <w:pPr>
        <w:jc w:val="center"/>
      </w:pPr>
      <w:r>
        <w:rPr>
          <w:rFonts w:ascii="Noto Sans CJK SC" w:hAnsi="Noto Sans CJK SC" w:eastAsia="Noto Sans CJK SC"/>
          <w:b/>
          <w:sz w:val="36"/>
        </w:rPr>
        <w:t>目  录</w:t>
      </w:r>
    </w:p>
    <w:p/>
    <w:p>
      <w:pPr>
        <w:pStyle w:val="BodyNoIndent"/>
        <w:spacing w:after="80"/>
        <w:ind w:left="0"/>
      </w:pPr>
      <w:r>
        <w:rPr>
          <w:rFonts w:ascii="Noto Sans CJK SC" w:hAnsi="Noto Sans CJK SC" w:eastAsia="Noto Sans CJK SC"/>
          <w:b/>
          <w:sz w:val="23"/>
        </w:rPr>
        <w:t>■ 一、从“把程序跑起来”到理解真实工程</w:t>
      </w:r>
    </w:p>
    <w:p>
      <w:pPr>
        <w:pStyle w:val="BodyNoIndent"/>
        <w:spacing w:after="80"/>
        <w:ind w:left="0"/>
      </w:pPr>
      <w:r>
        <w:rPr>
          <w:rFonts w:ascii="Noto Sans CJK SC" w:hAnsi="Noto Sans CJK SC" w:eastAsia="Noto Sans CJK SC"/>
          <w:b/>
          <w:sz w:val="23"/>
        </w:rPr>
        <w:t>■ 二、从单机功能到共享平台：系统思维的形成</w:t>
      </w:r>
    </w:p>
    <w:p>
      <w:pPr>
        <w:pStyle w:val="BodyNoIndent"/>
        <w:spacing w:after="80"/>
        <w:ind w:left="0"/>
      </w:pPr>
      <w:r>
        <w:rPr>
          <w:rFonts w:ascii="Noto Sans CJK SC" w:hAnsi="Noto Sans CJK SC" w:eastAsia="Noto Sans CJK SC"/>
          <w:b/>
          <w:sz w:val="23"/>
        </w:rPr>
        <w:t>■ 三、对工程责任、规范与安全的重新认识</w:t>
      </w:r>
    </w:p>
    <w:p>
      <w:pPr>
        <w:pStyle w:val="BodyNoIndent"/>
        <w:spacing w:after="80"/>
        <w:ind w:left="0"/>
      </w:pPr>
      <w:r>
        <w:rPr>
          <w:rFonts w:ascii="Noto Sans CJK SC" w:hAnsi="Noto Sans CJK SC" w:eastAsia="Noto Sans CJK SC"/>
          <w:b/>
          <w:sz w:val="23"/>
        </w:rPr>
        <w:t>■ 四、解决问题方式的变化</w:t>
      </w:r>
    </w:p>
    <w:p>
      <w:pPr>
        <w:pStyle w:val="BodyNoIndent"/>
        <w:spacing w:after="80"/>
        <w:ind w:left="0"/>
      </w:pPr>
      <w:r>
        <w:rPr>
          <w:rFonts w:ascii="Noto Sans CJK SC" w:hAnsi="Noto Sans CJK SC" w:eastAsia="Noto Sans CJK SC"/>
          <w:b/>
          <w:sz w:val="23"/>
        </w:rPr>
        <w:t>■ 五、对自身不足的认识与今后的努力方向</w:t>
      </w:r>
    </w:p>
    <w:p>
      <w:pPr>
        <w:pStyle w:val="BodyNoIndent"/>
        <w:spacing w:after="80"/>
        <w:ind w:left="0"/>
      </w:pPr>
      <w:r>
        <w:rPr>
          <w:rFonts w:ascii="Noto Sans CJK SC" w:hAnsi="Noto Sans CJK SC" w:eastAsia="Noto Sans CJK SC"/>
          <w:b/>
          <w:sz w:val="23"/>
        </w:rPr>
        <w:t>■ 六、总结</w:t>
      </w:r>
    </w:p>
    <w:p>
      <w:r>
        <w:br w:type="page"/>
      </w:r>
    </w:p>
    <w:p>
      <w:pPr>
        <w:jc w:val="center"/>
      </w:pPr>
      <w:r>
        <w:rPr>
          <w:rFonts w:ascii="Noto Sans CJK SC" w:hAnsi="Noto Sans CJK SC" w:eastAsia="Noto Sans CJK SC"/>
          <w:b/>
          <w:sz w:val="36"/>
        </w:rPr>
        <w:t>从单机调试到系统工程——五周实习思想总结</w:t>
      </w:r>
    </w:p>
    <w:p>
      <w:pPr>
        <w:pStyle w:val="BodyNoIndent"/>
        <w:jc w:val="center"/>
      </w:pPr>
      <w:r>
        <w:rPr>
          <w:rFonts w:ascii="Noto Serif CJK SC" w:hAnsi="Noto Serif CJK SC" w:eastAsia="Noto Serif CJK SC"/>
          <w:b w:val="0"/>
          <w:color w:val="505050"/>
          <w:sz w:val="23"/>
        </w:rPr>
        <w:t>（机器人比赛系统适配与 KV260 FPGA 共享计算平台实习）</w:t>
      </w:r>
    </w:p>
    <w:p/>
    <w:tbl>
      <w:tblPr>
        <w:tblStyle w:val="TableGrid"/>
        <w:tblW w:type="auto" w:w="0"/>
        <w:jc w:val="center"/>
        <w:tblLook w:firstColumn="1" w:firstRow="1" w:lastColumn="0" w:lastRow="0" w:noHBand="0" w:noVBand="1" w:val="04A0"/>
      </w:tblPr>
      <w:tblGrid>
        <w:gridCol w:w="9122"/>
      </w:tblGrid>
      <w:tr>
        <w:tc>
          <w:tcPr>
            <w:tcW w:type="dxa" w:w="9122"/>
            <w:shd w:fill="F4F7FB"/>
            <w:tcMar>
              <w:top w:w="180" w:type="dxa"/>
              <w:start w:w="220" w:type="dxa"/>
              <w:bottom w:w="180" w:type="dxa"/>
              <w:end w:w="220" w:type="dxa"/>
            </w:tcMar>
          </w:tcPr>
          <w:p>
            <w:pPr>
              <w:spacing w:line="360" w:lineRule="auto"/>
              <w:ind w:firstLine="420"/>
            </w:pPr>
            <w:r>
              <w:rPr>
                <w:rFonts w:ascii="Noto Serif CJK SC" w:hAnsi="Noto Serif CJK SC" w:eastAsia="Noto Serif CJK SC"/>
                <w:sz w:val="23"/>
              </w:rPr>
              <w:t>本次五周实习以机器人比赛系统升级为背景，主要完成新 TonyPi 与新场地的机器人程序适配、KV260 FPGA 共享计算平台搭建以及实验指导书重构。与单纯总结技术成果相比，本文更侧重实习过程中个人认识的变化，重点讨论从“功能能够运行”到“系统能够可靠运行”、从单板调试到多用户资源管理、从代码实现到工程责任与文档交付的转变。</w:t>
            </w:r>
          </w:p>
        </w:tc>
      </w:tr>
    </w:tbl>
    <w:p/>
    <w:p>
      <w:pPr>
        <w:pStyle w:val="Heading2"/>
      </w:pPr>
      <w:r>
        <w:t>一、从“把程序跑起来”到理解真实工程</w:t>
      </w:r>
    </w:p>
    <w:p>
      <w:pPr/>
      <w:r>
        <w:rPr>
          <w:rFonts w:ascii="Noto Serif CJK SC" w:hAnsi="Noto Serif CJK SC" w:eastAsia="Noto Serif CJK SC"/>
          <w:sz w:val="24"/>
        </w:rPr>
        <w:t>这次为期五周的实习，是我第一次较完整地参与一个从机器人现场调试、嵌入式平台部署、网络服务设计到教学资料整理的连续工程任务。实习开始时，我对任务的理解仍然比较接近课堂中的项目：面对一个明确的问题，选择合适的算法，写出代码并验证结果。如果程序能够运行、机器人能够按照指令运动、FPGA 能够给出分类结果，我往往就会把它看作一次任务的完成。真正进入现场之后，我很快发现，真实工程与课程作业最大的区别并不是代码量，而是系统中的每一个环节都受到现实条件约束，而且任何一个局部问题都可能影响整个流程。</w:t>
      </w:r>
    </w:p>
    <w:p>
      <w:pPr/>
      <w:r>
        <w:rPr>
          <w:rFonts w:ascii="Noto Serif CJK SC" w:hAnsi="Noto Serif CJK SC" w:eastAsia="Noto Serif CJK SC"/>
          <w:sz w:val="24"/>
        </w:rPr>
        <w:t>第一周的主要工作是重新调试机器人。由于比赛场地和机器人平台都发生了变化，旧程序虽然包含了定位、导航和识别等基本功能，但很多参数、接口和假设已经不再成立。我需要重新理解新 TonyPi 的动作系统、相机坐标、AprilTag 布置和场地地图，并不断在真实场地上验证。机器人在电脑仿真或静态测试中“看起来正确”，并不意味着在场地里能够稳定完成任务。一次转向角度的偏差、相机视角的变化、动作组的实际步长误差，都会逐步累积，最后表现为定位漂移、路径偏离或无法正确靠近目标。</w:t>
      </w:r>
    </w:p>
    <w:p>
      <w:pPr/>
      <w:r>
        <w:rPr>
          <w:rFonts w:ascii="Noto Serif CJK SC" w:hAnsi="Noto Serif CJK SC" w:eastAsia="Noto Serif CJK SC"/>
          <w:sz w:val="24"/>
        </w:rPr>
        <w:t>这段经历让我第一次非常直观地认识到，工程问题不能只看算法是否成立，还必须关注误差、边界条件、可重复性和恢复机制。课堂上我们经常把传感器、通信和执行器抽象成理想接口，而实际系统中的这些接口都可能失败。面对这些问题时，与其不断追求某个局部参数的“最优值”，不如让系统能够在一定误差范围内工作，并在出现异常后重新定位、重新规划或安全退出。这个思维变化对我影响很大，它让我开始从“写出正确代码”转向“设计能够持续工作的系统”。</w:t>
      </w:r>
    </w:p>
    <w:p>
      <w:pPr>
        <w:pStyle w:val="Heading2"/>
      </w:pPr>
      <w:r>
        <w:t>二、从单机功能到共享平台：系统思维的形成</w:t>
      </w:r>
    </w:p>
    <w:p>
      <w:pPr/>
      <w:r>
        <w:rPr>
          <w:rFonts w:ascii="Noto Serif CJK SC" w:hAnsi="Noto Serif CJK SC" w:eastAsia="Noto Serif CJK SC"/>
          <w:sz w:val="24"/>
        </w:rPr>
        <w:t>完成机器人基础适配之后，我开始参与 KV260 相关平台的搭建。最初的问题看上去并不复杂：让一块 KV260 能够启动 Ubuntu，安装必要的 XRT、PYNQ 运行环境，加载 bit 和 hwh 文件，然后通过 FPGA 完成一次花卉分类。然而，当使用场景扩展到二十多块 KV260、多个学生和多台机器人之后，问题的性质发生了明显变化。此时需要考虑的已经不只是“单板能不能算”，而是“多块板如何被稳定部署、如何被统一识别、不同学生如何上传自己的 FPGA 设计、如何避免多个人同时占用同一块板、没有空闲板时请求如何等待，以及服务器重启之后任务状态是否还能恢复”。</w:t>
      </w:r>
    </w:p>
    <w:p>
      <w:pPr/>
      <w:r>
        <w:rPr>
          <w:rFonts w:ascii="Noto Serif CJK SC" w:hAnsi="Noto Serif CJK SC" w:eastAsia="Noto Serif CJK SC"/>
          <w:sz w:val="24"/>
        </w:rPr>
        <w:t>为了使多块 KV260 具备统一的运行基础，我从 SD 卡镜像和板卡身份管理开始梳理部署流程。通过为不同板卡分配 Board ID、hostname 和固定网络地址，使每块 KV260 都拥有明确且可追踪的身份；随后再通过 Runtime 部署脚本配置 XRT、ZOCL、Python 绑定和 Minimal PYNQ 环境。这个过程让我认识到，批量部署并不是把同一个步骤重复二十次，而是把一次人工操作变成可验证、可重复、尽量少依赖个人经验的标准流程。只有这样，后续服务器才能把这些硬件视为一个稳定的资源池，而不是二十多台需要分别维护的独立设备。</w:t>
      </w:r>
    </w:p>
    <w:p>
      <w:pPr/>
      <w:r>
        <w:rPr>
          <w:rFonts w:ascii="Noto Serif CJK SC" w:hAnsi="Noto Serif CJK SC" w:eastAsia="Noto Serif CJK SC"/>
          <w:sz w:val="24"/>
        </w:rPr>
        <w:t>在搭建 Central Server 的过程中，我对“系统状态”有了更深入的认识。最开始很容易认为服务器只需要接收一张图片，然后把图片转发给某一块 KV260，再把结果返回即可。但真正实现多学生共享后，必须明确谁拥有哪块 Worker、当前 Worker 是空闲、部署中还是忙碌状态；一个学生上传的 bit/hwh 属于哪个版本；一个 predict 请求是否已经排队、正在运行、已经完成或者失败；服务器在突然重启之后应该如何重新建立这些关系。也正是在这一阶段，我开始理解数据库持久化、状态机、任务队列、Lease、审计日志等概念的工程价值。它们并不是为了让项目显得复杂，而是为了让系统在面对真实使用场景时仍然具有确定的行为。</w:t>
      </w:r>
    </w:p>
    <w:p>
      <w:pPr/>
      <w:r>
        <w:rPr>
          <w:rFonts w:ascii="Noto Serif CJK SC" w:hAnsi="Noto Serif CJK SC" w:eastAsia="Noto Serif CJK SC"/>
          <w:sz w:val="24"/>
        </w:rPr>
        <w:t>尤其让我印象深刻的是请求排队机制。当没有空闲 KV260 时，最简单的做法可能是直接向用户返回失败，让用户稍后重新提交。但这样会让机器人和学生端承担大量额外逻辑，也容易产生重复请求。因此平台采用先持久化请求、返回 request_id，再由后台调度器在资源可用时继续处理的方式。这个设计让我认识到，一个好的系统接口不仅要回答“成功还是失败”，还应该帮助调用者在资源不足和短暂异常的情况下保持可预测的交互。系统的可靠性很多时候来自这些并不显眼的细节。</w:t>
      </w:r>
    </w:p>
    <w:p>
      <w:pPr>
        <w:pStyle w:val="Heading2"/>
      </w:pPr>
      <w:r>
        <w:t>三、对工程责任、规范与安全的重新认识</w:t>
      </w:r>
    </w:p>
    <w:p>
      <w:pPr/>
      <w:r>
        <w:rPr>
          <w:rFonts w:ascii="Noto Serif CJK SC" w:hAnsi="Noto Serif CJK SC" w:eastAsia="Noto Serif CJK SC"/>
          <w:sz w:val="24"/>
        </w:rPr>
        <w:t>实习过程中，我逐渐发现，工程人员的责任并不止于实现功能。一个真实的平台要交给其他学生、助教甚至后续维护者使用，就必须考虑安全、权限、日志、可观测性以及误操作的后果。例如，学生上传 FPGA Artifact 时，如果只依靠 student_id 进行区分，那么任何知道该 ID 的人都可能覆盖或调用别人的设计。后来平台增加了密码认证，并把管理员的破坏性操作与普通学生接口区分开来。这个过程让我认识到，安全并不是项目结束前再补上的附加项，而应当在系统边界设计时就被考虑。</w:t>
      </w:r>
    </w:p>
    <w:p>
      <w:pPr/>
      <w:r>
        <w:rPr>
          <w:rFonts w:ascii="Noto Serif CJK SC" w:hAnsi="Noto Serif CJK SC" w:eastAsia="Noto Serif CJK SC"/>
          <w:sz w:val="24"/>
        </w:rPr>
        <w:t>同样，服务器 UI 的完善也改变了我对“可观测性”的理解。程序在后台运行并不代表管理者真正了解系统发生了什么。当 Worker 数量增多、请求并发、学生上传多个版本之后，如果只能通过终端日志逐条查找，很难在比赛或教学现场快速判断问题。因此通过 Dashboard 展示 Worker 状态、Artifact、计算请求、Student 状态和系统事件，并支持按 Worker、Student ID 和 Request 查询，实际上是在提高系统的可维护性。以前我会更关注算法是否正确，现在我越来越重视一个系统能否让使用者快速理解其当前状态。</w:t>
      </w:r>
    </w:p>
    <w:p>
      <w:pPr/>
      <w:r>
        <w:rPr>
          <w:rFonts w:ascii="Noto Serif CJK SC" w:hAnsi="Noto Serif CJK SC" w:eastAsia="Noto Serif CJK SC"/>
          <w:sz w:val="24"/>
        </w:rPr>
        <w:t>这种责任意识也体现在代码之外。实习最后需要将新机器人、新场地和新的 KV260 通信方式写进实验指导书。刚开始我把写文档理解成对已完成工作的简单总结，但在实际整理过程中才发现，如果要让一个没有参与开发的人按照指导书完成实验，就必须重新审视每一个步骤是否明确、命令是否可复现、图片和术语是否一致、失败时是否有排查方法。很多开发过程中依靠经验默认的内容，都需要被明确写出来。由此我认识到，文档不是软件开发结束后的“附属成果”，而是工程交付的一部分。</w:t>
      </w:r>
    </w:p>
    <w:p>
      <w:pPr>
        <w:pStyle w:val="Heading2"/>
      </w:pPr>
      <w:r>
        <w:t>四、解决问题方式的变化</w:t>
      </w:r>
    </w:p>
    <w:p>
      <w:pPr/>
      <w:r>
        <w:rPr>
          <w:rFonts w:ascii="Noto Serif CJK SC" w:hAnsi="Noto Serif CJK SC" w:eastAsia="Noto Serif CJK SC"/>
          <w:sz w:val="24"/>
        </w:rPr>
        <w:t>五周中遇到的问题非常多，而且不少问题一开始并不能直接定位到某一行代码。例如 SD 卡写入出现 I/O 错误时，需要区分镜像大小、目标设备、读卡器、SD 卡介质和系统挂载状态；KV260 开机后无法 SSH 时，需要逐层确认板卡是否启动、网卡是否得到预期地址、SSH 服务是否监听以及管理电脑是否与其处于同一网络；机器人定位异常时，则需要同时检查相机标定、AprilTag 坐标、坐标轴方向和动作造成的累计误差。</w:t>
      </w:r>
    </w:p>
    <w:p>
      <w:pPr/>
      <w:r>
        <w:rPr>
          <w:rFonts w:ascii="Noto Serif CJK SC" w:hAnsi="Noto Serif CJK SC" w:eastAsia="Noto Serif CJK SC"/>
          <w:sz w:val="24"/>
        </w:rPr>
        <w:t>这些经历让我逐渐形成了一种更系统的排障方式：先准确描述现象，再缩小问题范围；优先验证最基础的假设，而不是立即修改大量代码；一次只改变少量变量，并保留可以比较的日志和测试结果。很多时候，最耗费时间的不是解决问题本身，而是在没有证据的情况下不断尝试。因此我开始更加重视日志、最小复现、分层测试和自动化测试。尤其在 Central Server 完善之后，Request、Worker、Artifact 和 Audit Event 都能够被记录和查询，这种可追踪性也让我体会到良好工程习惯对于复杂系统的重要意义。</w:t>
      </w:r>
    </w:p>
    <w:p>
      <w:pPr/>
      <w:r>
        <w:rPr>
          <w:rFonts w:ascii="Noto Serif CJK SC" w:hAnsi="Noto Serif CJK SC" w:eastAsia="Noto Serif CJK SC"/>
          <w:sz w:val="24"/>
        </w:rPr>
        <w:t>另外，我也逐渐学会接受“系统不可能永远处于理想状态”这一事实。与其假设网络永远可达、识别永远成功、Worker 永远在线，不如明确每个模块可能出现的失败类型，并给出合理的恢复策略。对机器人而言，可以重新定位、重新规划；对服务器而言，可以排队、恢复状态或释放异常资源；对用户而言，则需要返回明确的状态和错误信息。这样的设计思路让我对容错和鲁棒性有了比课堂学习更具体的理解。</w:t>
      </w:r>
    </w:p>
    <w:p>
      <w:pPr>
        <w:pStyle w:val="Heading2"/>
      </w:pPr>
      <w:r>
        <w:t>五、对自身不足的认识与今后的努力方向</w:t>
      </w:r>
    </w:p>
    <w:p>
      <w:pPr/>
      <w:r>
        <w:rPr>
          <w:rFonts w:ascii="Noto Serif CJK SC" w:hAnsi="Noto Serif CJK SC" w:eastAsia="Noto Serif CJK SC"/>
          <w:sz w:val="24"/>
        </w:rPr>
        <w:t>这次实习也让我更清楚地看到自己的不足。第一，我目前仍然容易在遇到具体故障时迅速陷入局部实现，而忽略先从整体数据流和状态流上判断问题属于哪一层。随着项目规模变大，单纯依靠阅读代码和临时调试的效率会越来越低，因此今后需要继续提升软件架构、操作系统、网络通信和分布式系统方面的基础能力。第二，在嵌入式和 FPGA 相关工作中，我能够完成现有框架下的部署、通信和联调，但对底层 Linux 驱动、XRT、DMA 和 FPGA 软件栈之间的关系仍有进一步深入的空间。</w:t>
      </w:r>
    </w:p>
    <w:p>
      <w:pPr/>
      <w:r>
        <w:rPr>
          <w:rFonts w:ascii="Noto Serif CJK SC" w:hAnsi="Noto Serif CJK SC" w:eastAsia="Noto Serif CJK SC"/>
          <w:sz w:val="24"/>
        </w:rPr>
        <w:t>第三，我意识到测试能力同样是工程能力的一部分。过去我更习惯完成功能后再手工测试，而这次实习让我看到自动化测试、并发测试、持久化恢复测试和现场检查清单的重要性。今后在设计功能时，我希望更早地思考“如何证明它是正确的”，而不是在实现结束之后才补测试。第四，在文档表达方面，我也需要继续提高。优秀的工程文档需要在准确性、完整性和易读性之间取得平衡，不能只把开发者自己理解的内容罗列出来。</w:t>
      </w:r>
    </w:p>
    <w:p>
      <w:pPr/>
      <w:r>
        <w:rPr>
          <w:rFonts w:ascii="Noto Serif CJK SC" w:hAnsi="Noto Serif CJK SC" w:eastAsia="Noto Serif CJK SC"/>
          <w:sz w:val="24"/>
        </w:rPr>
        <w:t>这些不足并没有让我否定这次实习的成果，反而让我对今后的学习方向更加明确。相比实习开始时只关注某个算法或某段程序，我现在更希望建立跨层次的理解能力：既能理解算法和硬件，也能理解系统服务、网络和工程管理，让自己能够从整体上分析和解决问题。</w:t>
      </w:r>
    </w:p>
    <w:p>
      <w:pPr>
        <w:pStyle w:val="Heading2"/>
      </w:pPr>
      <w:r>
        <w:t>六、总结</w:t>
      </w:r>
    </w:p>
    <w:p>
      <w:pPr/>
      <w:r>
        <w:rPr>
          <w:rFonts w:ascii="Noto Serif CJK SC" w:hAnsi="Noto Serif CJK SC" w:eastAsia="Noto Serif CJK SC"/>
          <w:sz w:val="24"/>
        </w:rPr>
        <w:t>回顾这五周，从最初在场地中反复调试机器人，到后来制作 KV260 镜像、搭建共享计算平台、完善 Central Server 和管理界面，再到最后让机器人通过服务器完成 FPGA 推理，并将整个过程整理为新的实验指导书，我最大的收获并不是掌握了某一个具体工具，而是对“工程”这件事有了更完整的认识。工程不是把若干功能简单拼接在一起，而是在真实约束下，让不同模块形成边界清晰、状态可控、出现异常后能够恢复、其他人能够理解和使用的整体。</w:t>
      </w:r>
    </w:p>
    <w:p>
      <w:pPr/>
      <w:r>
        <w:rPr>
          <w:rFonts w:ascii="Noto Serif CJK SC" w:hAnsi="Noto Serif CJK SC" w:eastAsia="Noto Serif CJK SC"/>
          <w:sz w:val="24"/>
        </w:rPr>
        <w:t>这次实习使我从更偏向单点功能实现的思维，逐步走向系统化、规范化和面向实际使用者的思考方式。我也更加理解专业知识只有进入真实场景、经过反复验证和不断修正之后，才能真正转化为解决问题的能力。今后的学习中，我希望继续保持这种从实际问题出发、重视验证和复盘的习惯，在电子工程、嵌入式系统和智能硬件方向建立更扎实、更完整的工程能力。</w:t>
      </w:r>
    </w:p>
    <w:p/>
    <w:p>
      <w:pPr>
        <w:pStyle w:val="BodyNoIndent"/>
        <w:jc w:val="right"/>
      </w:pPr>
      <w:r>
        <w:rPr>
          <w:rFonts w:ascii="Noto Serif CJK SC" w:hAnsi="Noto Serif CJK SC" w:eastAsia="Noto Serif CJK SC"/>
          <w:sz w:val="23"/>
        </w:rPr>
        <w:t>许胜宏</w:t>
        <w:br/>
        <w:t>2026 年</w:t>
      </w:r>
    </w:p>
    <w:sectPr w:rsidR="00FC693F" w:rsidRPr="0006063C" w:rsidSect="00034616">
      <w:headerReference w:type="default" r:id="rId9"/>
      <w:footerReference w:type="default" r:id="rId10"/>
      <w:pgSz w:w="12240" w:h="15840"/>
      <w:pgMar w:top="1417" w:right="1417" w:bottom="1417" w:left="1701" w:header="737" w:footer="79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sz w:val="18"/>
      </w:rPr>
      <w:t xml:space="preserve">第 </w:t>
    </w:r>
    <w:r>
      <w:fldChar w:fldCharType="begin"/>
      <w:instrText xml:space="preserve"> PAGE </w:instrText>
      <w:fldChar w:fldCharType="end"/>
    </w:r>
    <w:r>
      <w:rPr>
        <w:rFonts w:ascii="Noto Sans CJK SC" w:hAnsi="Noto Sans CJK SC" w:eastAsia="Noto Sans CJK SC"/>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646464"/>
        <w:sz w:val="18"/>
      </w:rPr>
      <w:t>实习思想总结</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pPr>
    <w:rPr>
      <w:rFonts w:ascii="Noto Serif CJK SC" w:hAnsi="Noto Serif CJK SC" w:eastAsia="Noto Serif CJK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40" w:after="120"/>
      <w:ind w:firstLine="0"/>
      <w:outlineLvl w:val="0"/>
    </w:pPr>
    <w:rPr>
      <w:rFonts w:asciiTheme="majorHAnsi" w:eastAsiaTheme="majorEastAsia" w:hAnsiTheme="majorHAnsi" w:cstheme="majorBidi" w:ascii="Noto Sans CJK SC" w:hAnsi="Noto Sans CJK SC" w:eastAsia="Noto Sans CJK S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heme="majorHAnsi" w:eastAsiaTheme="majorEastAsia" w:hAnsiTheme="majorHAnsi" w:cstheme="majorBidi" w:ascii="Noto Sans CJK SC" w:hAnsi="Noto Sans CJK SC" w:eastAsia="Noto Sans CJK SC"/>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outlineLvl w:val="2"/>
    </w:pPr>
    <w:rPr>
      <w:rFonts w:asciiTheme="majorHAnsi" w:eastAsiaTheme="majorEastAsia" w:hAnsiTheme="majorHAnsi" w:cstheme="majorBidi" w:ascii="Noto Sans CJK SC" w:hAnsi="Noto Sans CJK SC" w:eastAsia="Noto Sans CJK SC"/>
      <w:b/>
      <w:bCs/>
      <w:color w:val="4F81BD" w:themeColor="accent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Noto Sans CJK SC" w:hAnsi="Noto Sans CJK SC" w:eastAsia="Noto Sans CJK SC"/>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NoIndent">
    <w:name w:val="Body No Indent"/>
    <w:pPr>
      <w:spacing w:line="360" w:lineRule="auto" w:after="0"/>
      <w:ind w:firstLine="0"/>
    </w:pPr>
    <w:rPr>
      <w:rFonts w:ascii="Noto Serif CJK SC" w:hAnsi="Noto Serif CJK SC" w:eastAsia="Noto Serif CJK SC"/>
      <w:sz w:val="24"/>
    </w:rPr>
  </w:style>
  <w:style w:type="paragraph" w:customStyle="1" w:styleId="CodeBlock">
    <w:name w:val="CodeBlock"/>
    <w:pPr>
      <w:spacing w:before="100" w:after="100" w:line="276" w:lineRule="auto"/>
      <w:ind w:left="397" w:right="227"/>
    </w:pPr>
    <w:rPr>
      <w:rFonts w:ascii="Noto Sans Mono CJK SC" w:hAnsi="Noto Sans Mono CJK SC" w:eastAsia="Noto Sans Mono CJK SC"/>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