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D21"/>
          <w:sz w:val="44"/>
        </w:rPr>
        <w:t>GC×IMS Compound Matching</w:t>
      </w:r>
    </w:p>
    <w:p>
      <w:r>
        <w:rPr>
          <w:color w:val="5A6470"/>
          <w:sz w:val="23"/>
        </w:rPr>
        <w:t>How drift_relative is determined, and how a peak is matched to a compound from drift-rel + RI</w:t>
      </w:r>
    </w:p>
    <w:p>
      <w:r>
        <w:rPr>
          <w:i/>
          <w:color w:val="5A6470"/>
          <w:sz w:val="18"/>
        </w:rPr>
        <w:t>Source modules: rip.py, match.py  ·  GC-IMS-PEAK Identify workflow, Stage 1 + Stage 5</w:t>
      </w:r>
    </w:p>
    <w:p>
      <w:pPr>
        <w:spacing w:after="120"/>
      </w:pPr>
      <w:r>
        <w:t>The key idea: both sides compare the same dimensionless ratio to the Reactant Ion Peak (RIP) — never an absolute drift time. That is what lets IMS matching run without any K0 calibration.</w:t>
      </w:r>
    </w:p>
    <w:p>
      <w:pPr>
        <w:spacing w:before="280" w:after="80"/>
      </w:pPr>
      <w:r>
        <w:rPr>
          <w:b/>
          <w:color w:val="1A1D21"/>
          <w:sz w:val="30"/>
        </w:rPr>
        <w:t>1.  Determining the peak’s drift_relative</w:t>
      </w:r>
    </w:p>
    <w:p>
      <w:pPr>
        <w:spacing w:after="120"/>
      </w:pPr>
      <w:r>
        <w:t>Produced in Stage 1 (rip.py). First locate the RIP on the drift axis: take the RT = 0 row of the intensity matrix, skip the first 200 samples, and take the position of the maximum.</w:t>
      </w:r>
    </w:p>
    <w:p>
      <w:pPr>
        <w:jc w:val="center"/>
      </w:pPr>
      <m:oMathPara>
        <m:oMath>
          <m:r>
            <m:t xml:space="preserve">r = </m:t>
          </m:r>
          <m:sSub>
            <m:e>
              <m:r>
                <m:t xml:space="preserve">argmax</m:t>
              </m:r>
            </m:e>
            <m:sub>
              <m:r>
                <m:t xml:space="preserve">j ≥ 200</m:t>
              </m:r>
            </m:sub>
          </m:sSub>
          <m:r>
            <m:t xml:space="preserve"> I[0, j]</m:t>
          </m:r>
        </m:oMath>
      </m:oMathPara>
    </w:p>
    <w:p>
      <w:pPr>
        <w:spacing w:after="120"/>
      </w:pPr>
      <w:r>
        <w:t>Then each peak’s own drift index jₚ (its dt_index) is divided by that RIP index to give a relative value:</w:t>
      </w:r>
    </w:p>
    <w:p>
      <w:pPr>
        <w:jc w:val="center"/>
      </w:pPr>
      <m:oMathPara>
        <m:oMath>
          <m:sSub>
            <m:e>
              <m:r>
                <m:t xml:space="preserve">d</m:t>
              </m:r>
            </m:e>
            <m:sub>
              <m:r>
                <m:t xml:space="preserve">p</m:t>
              </m:r>
            </m:sub>
          </m:sSub>
          <m:r>
            <m:t xml:space="preserve"> = </m:t>
          </m:r>
          <m:f>
            <m:num>
              <m:sSub>
                <m:e>
                  <m:r>
                    <m:t xml:space="preserve">j</m:t>
                  </m:r>
                </m:e>
                <m:sub>
                  <m:r>
                    <m:t xml:space="preserve">p</m:t>
                  </m:r>
                </m:sub>
              </m:sSub>
            </m:num>
            <m:den>
              <m:r>
                <m:t xml:space="preserve">r</m:t>
              </m:r>
            </m:den>
          </m:f>
        </m:oMath>
      </m:oMathPara>
    </w:p>
    <w:p>
      <w:pPr>
        <w:spacing w:after="120"/>
      </w:pPr>
      <w:r>
        <w:t>The RIP itself is exactly 1.0; a value dₚ = 1.13 means the peak drifted 13% farther than the RIP. Being a pure ratio, it is immune to sample rate, tube length, temperature and pressure.</w:t>
      </w:r>
    </w:p>
    <w:p>
      <w:pPr>
        <w:spacing w:before="280" w:after="80"/>
      </w:pPr>
      <w:r>
        <w:rPr>
          <w:b/>
          <w:color w:val="1A1D21"/>
          <w:sz w:val="30"/>
        </w:rPr>
        <w:t>2.  The library data — and the unit filter</w:t>
      </w:r>
    </w:p>
    <w:p>
      <w:pPr>
        <w:spacing w:after="120"/>
      </w:pPr>
      <w:r>
        <w:t>Each .iml library row stores its drift value in Dt[a.u.], but the unit convention varies and is tagged by DtMode. The same compound can appear under different conventions: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9"/>
              </w:rPr>
              <w:t>DtMode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What Dt[a.u.] means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Comparable to dₚ ?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RIPrel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Ratio to the RIP (library’s own jℓ / rℓ)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Yes — same dimensionless ratio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1/K0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Inverse reduced mobility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No — needs K0 calibration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ms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Raw drift time (milliseconds)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No — different unit</w:t>
            </w:r>
          </w:p>
        </w:tc>
      </w:tr>
    </w:tbl>
    <w:p>
      <w:pPr>
        <w:spacing w:after="120"/>
      </w:pPr>
    </w:p>
    <w:p>
      <w:pPr>
        <w:spacing w:after="120"/>
      </w:pPr>
      <w:r>
        <w:t>So match_drift_rel()’s first gate keeps only DtMode == "RIPrel" rows — the ones in the same unit as the peak. Everything else is skipped; mixing units would produce meaningless matches.</w:t>
      </w:r>
    </w:p>
    <w:p>
      <w:pPr>
        <w:spacing w:before="280" w:after="80"/>
      </w:pPr>
      <w:r>
        <w:rPr>
          <w:b/>
          <w:color w:val="1A1D21"/>
          <w:sz w:val="30"/>
        </w:rPr>
        <w:t>3.  The drift-axis match condition</w:t>
      </w:r>
    </w:p>
    <w:p>
      <w:pPr>
        <w:spacing w:after="120"/>
      </w:pPr>
      <w:r>
        <w:t>For each surviving RIPrel row ℓ, compute the absolute difference between the library drift ratio dℓ and the peak’s dₚ, and test it against the tolerance half-width τ_d:</w:t>
      </w:r>
    </w:p>
    <w:p>
      <w:pPr>
        <w:jc w:val="center"/>
      </w:pPr>
      <m:oMathPara>
        <m:oMath>
          <m:sSub>
            <m:e>
              <m:r>
                <m:t xml:space="preserve">Δ</m:t>
              </m:r>
            </m:e>
            <m:sub>
              <m:r>
                <m:t xml:space="preserve">d</m:t>
              </m:r>
            </m:sub>
          </m:sSub>
          <m:d>
            <m:dPr>
              <m:begChr m:val="("/>
              <m:endChr m:val=")"/>
            </m:dPr>
            <m:e>
              <m:r>
                <m:t xml:space="preserve">ℓ</m:t>
              </m:r>
            </m:e>
          </m:d>
          <m:r>
            <m:t xml:space="preserve"> = </m:t>
          </m:r>
          <m:d>
            <m:dPr>
              <m:begChr m:val="|"/>
              <m:endChr m:val="|"/>
            </m:dPr>
            <m:e>
              <m:sSub>
                <m:e>
                  <m:r>
                    <m:t xml:space="preserve">d</m:t>
                  </m:r>
                </m:e>
                <m:sub>
                  <m:r>
                    <m:t xml:space="preserve">ℓ</m:t>
                  </m:r>
                </m:sub>
              </m:sSub>
              <m:r>
                <m:t xml:space="preserve"> − </m:t>
              </m:r>
              <m:sSub>
                <m:e>
                  <m:r>
                    <m:t xml:space="preserve">d</m:t>
                  </m:r>
                </m:e>
                <m:sub>
                  <m:r>
                    <m:t xml:space="preserve">p</m:t>
                  </m:r>
                </m:sub>
              </m:sSub>
            </m:e>
          </m:d>
          <m:r>
            <m:t xml:space="preserve">  ≤  </m:t>
          </m:r>
          <m:sSub>
            <m:e>
              <m:r>
                <m:t xml:space="preserve">τ</m:t>
              </m:r>
            </m:e>
            <m:sub>
              <m:r>
                <m:t xml:space="preserve">d</m:t>
              </m:r>
            </m:sub>
          </m:sSub>
          <m:r>
            <m:t xml:space="preserve"> = 0.05</m:t>
          </m:r>
        </m:oMath>
      </m:oMathPara>
    </w:p>
    <w:p>
      <w:pPr>
        <w:spacing w:after="120"/>
      </w:pPr>
      <w:r>
        <w:t>Hits are sorted ascending by Δ_d; the closest one fills the IMS column, e.g. 1.139 (Δ0.026).</w:t>
      </w:r>
    </w:p>
    <w:p>
      <w:pPr>
        <w:spacing w:before="280" w:after="80"/>
      </w:pPr>
      <w:r>
        <w:rPr>
          <w:b/>
          <w:color w:val="1A1D21"/>
          <w:sz w:val="30"/>
        </w:rPr>
        <w:t>4.  Two axes intersect → the confident identification</w:t>
      </w:r>
    </w:p>
    <w:p>
      <w:pPr>
        <w:spacing w:after="120"/>
      </w:pPr>
      <w:r>
        <w:t>Drift agreement alone only says “something drifts nearby.” The identification comes from intersecting with the GC/RI axis, which uses the same shape of test:</w:t>
      </w:r>
    </w:p>
    <w:p>
      <w:pPr>
        <w:jc w:val="center"/>
      </w:pPr>
      <m:oMathPara>
        <m:oMath>
          <m:sSub>
            <m:e>
              <m:r>
                <m:t xml:space="preserve">Δ</m:t>
              </m:r>
            </m:e>
            <m:sub>
              <m:r>
                <m:t xml:space="preserve">RI</m:t>
              </m:r>
            </m:sub>
          </m:sSub>
          <m:d>
            <m:dPr>
              <m:begChr m:val="("/>
              <m:endChr m:val=")"/>
            </m:dPr>
            <m:e>
              <m:r>
                <m:t xml:space="preserve">ℓ</m:t>
              </m:r>
            </m:e>
          </m:d>
          <m:r>
            <m:t xml:space="preserve"> = </m:t>
          </m:r>
          <m:d>
            <m:dPr>
              <m:begChr m:val="|"/>
              <m:endChr m:val="|"/>
            </m:dPr>
            <m:e>
              <m:sSub>
                <m:e>
                  <m:r>
                    <m:t xml:space="preserve">RI</m:t>
                  </m:r>
                </m:e>
                <m:sub>
                  <m:r>
                    <m:t xml:space="preserve">ℓ</m:t>
                  </m:r>
                </m:sub>
              </m:sSub>
              <m:r>
                <m:t xml:space="preserve"> − </m:t>
              </m:r>
              <m:sSub>
                <m:e>
                  <m:r>
                    <m:t xml:space="preserve">RI</m:t>
                  </m:r>
                </m:e>
                <m:sub>
                  <m:r>
                    <m:t xml:space="preserve">p</m:t>
                  </m:r>
                </m:sub>
              </m:sSub>
            </m:e>
          </m:d>
          <m:r>
            <m:t xml:space="preserve">  ≤  </m:t>
          </m:r>
          <m:sSub>
            <m:e>
              <m:r>
                <m:t xml:space="preserve">τ</m:t>
              </m:r>
            </m:e>
            <m:sub>
              <m:r>
                <m:t xml:space="preserve">RI</m:t>
              </m:r>
            </m:sub>
          </m:sSub>
          <m:r>
            <m:t xml:space="preserve"> = 5</m:t>
          </m:r>
        </m:oMath>
      </m:oMathPara>
    </w:p>
    <w:p>
      <w:pPr>
        <w:spacing w:after="120"/>
      </w:pPr>
      <w:r>
        <w:t>combine_by_cas() then keys on the CAS number and keeps only compounds whose CAS lands inside both windows:</w:t>
      </w:r>
    </w:p>
    <w:p>
      <w:pPr>
        <w:jc w:val="center"/>
      </w:pPr>
      <m:oMathPara>
        <m:oMath>
          <m:r>
            <m:t xml:space="preserve">combined = </m:t>
          </m:r>
          <m:d>
            <m:dPr>
              <m:begChr m:val="{"/>
              <m:endChr m:val=""/>
            </m:dPr>
            <m:e>
              <m:r>
                <m:t xml:space="preserve">c : </m:t>
              </m:r>
              <m:d>
                <m:dPr>
                  <m:begChr m:val="("/>
                  <m:endChr m:val=")"/>
                </m:dPr>
                <m:e>
                  <m:sSub>
                    <m:e>
                      <m:r>
                        <m:t xml:space="preserve">Δ</m:t>
                      </m:r>
                    </m:e>
                    <m:sub>
                      <m:r>
                        <m:t xml:space="preserve">RI</m:t>
                      </m:r>
                    </m:sub>
                  </m:sSub>
                  <m:r>
                    <m:t xml:space="preserve"> ≤ </m:t>
                  </m:r>
                  <m:sSub>
                    <m:e>
                      <m:r>
                        <m:t xml:space="preserve">τ</m:t>
                      </m:r>
                    </m:e>
                    <m:sub>
                      <m:r>
                        <m:t xml:space="preserve">RI</m:t>
                      </m:r>
                    </m:sub>
                  </m:sSub>
                  <m:r>
                    <m:t xml:space="preserve"> ,  CAS = c</m:t>
                  </m:r>
                </m:e>
              </m:d>
              <m:r>
                <m:t xml:space="preserve">  ∧  </m:t>
              </m:r>
              <m:d>
                <m:dPr>
                  <m:begChr m:val="("/>
                  <m:endChr m:val=")"/>
                </m:dPr>
                <m:e>
                  <m:sSub>
                    <m:e>
                      <m:r>
                        <m:t xml:space="preserve">Δ</m:t>
                      </m:r>
                    </m:e>
                    <m:sub>
                      <m:r>
                        <m:t xml:space="preserve">d</m:t>
                      </m:r>
                    </m:sub>
                  </m:sSub>
                  <m:r>
                    <m:t xml:space="preserve"> ≤ </m:t>
                  </m:r>
                  <m:sSub>
                    <m:e>
                      <m:r>
                        <m:t xml:space="preserve">τ</m:t>
                      </m:r>
                    </m:e>
                    <m:sub>
                      <m:r>
                        <m:t xml:space="preserve">d</m:t>
                      </m:r>
                    </m:sub>
                  </m:sSub>
                  <m:r>
                    <m:t xml:space="preserve"> ,  CAS = c</m:t>
                  </m:r>
                </m:e>
              </m:d>
            </m:e>
          </m:d>
          <m:r>
            <m:t xml:space="preserve"> }</m:t>
          </m:r>
        </m:oMath>
      </m:oMathPara>
    </w:p>
    <w:p>
      <w:pPr>
        <w:spacing w:after="120"/>
      </w:pPr>
      <w:r>
        <w:t>The intersection is ranked by the combined error Δ_RI + Δ_d and shown in the GC×IMS column. Agreement on both axes collapses the RI axis’s hundreds of single-axis candidates down to a few.</w:t>
      </w:r>
    </w:p>
    <w:p>
      <w:pPr>
        <w:spacing w:before="280" w:after="80"/>
      </w:pPr>
      <w:r>
        <w:rPr>
          <w:b/>
          <w:color w:val="1A1D21"/>
          <w:sz w:val="30"/>
        </w:rPr>
        <w:t>5.  End-to-end flow (match_all for one peak)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64072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407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470"/>
          <w:sz w:val="18"/>
        </w:rPr>
        <w:t>Amber = GC/RI axis · Teal = IMS/drift axis · Indigo = both. The K0 branch is currently dormant.</w:t>
      </w:r>
    </w:p>
    <w:p>
      <w:pPr>
        <w:spacing w:before="280" w:after="80"/>
      </w:pPr>
      <w:r>
        <w:rPr>
          <w:b/>
          <w:color w:val="5A6470"/>
          <w:sz w:val="26"/>
        </w:rPr>
        <w:t>Current status</w:t>
      </w:r>
    </w:p>
    <w:p>
      <w:pPr>
        <w:spacing w:after="120"/>
      </w:pPr>
      <w:r>
        <w:t>The K0 branch is dormant (no calibration standard yet), so the IMS axis runs on match_drift_rel (RIPrel). Both windows, τ_d = 0.05 and τ_RI = 5, are still uncalibrated placeholders and should be validated against known compounds on a reference run.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