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NiXZ-121 XANES Quality Assessment</w:t>
      </w:r>
    </w:p>
    <w:p>
      <w:pPr>
        <w:jc w:val="center"/>
      </w:pPr>
      <w:r>
        <w:rPr>
          <w:i/>
          <w:sz w:val="28"/>
        </w:rPr>
        <w:t>Technical Report and User Manual</w:t>
      </w:r>
    </w:p>
    <w:p>
      <w:pPr>
        <w:jc w:val="center"/>
      </w:pPr>
      <w:r>
        <w:rPr>
          <w:sz w:val="24"/>
        </w:rPr>
        <w:t>Albert Sheng</w:t>
      </w:r>
    </w:p>
    <w:p>
      <w:pPr>
        <w:jc w:val="center"/>
      </w:pPr>
      <w:r>
        <w:rPr>
          <w:sz w:val="22"/>
        </w:rPr>
        <w:t>2026-09-28</w:t>
      </w:r>
    </w:p>
    <w:p/>
    <w:p/>
    <w:p>
      <w:r>
        <w:t>This document has two parts. Part I is a technical description of the algorithms and thresholds used for automated quality control of the NiXZ-121 spatially resolved XANES dataset. Part II is a user manual for the accompanying application.</w:t>
      </w:r>
    </w:p>
    <w:p>
      <w:r>
        <w:br w:type="page"/>
      </w:r>
    </w:p>
    <w:p>
      <w:pPr>
        <w:pStyle w:val="Heading1"/>
        <w:jc w:val="left"/>
      </w:pPr>
      <w:r>
        <w:t>Part I. Technical Report</w:t>
      </w:r>
    </w:p>
    <w:p>
      <w:pPr>
        <w:pStyle w:val="Heading2"/>
      </w:pPr>
      <w:r>
        <w:t>Abstract</w:t>
      </w:r>
    </w:p>
    <w:p>
      <w:r>
        <w:t>We describe a two-stage automated quality-control pipeline for a spatially resolved X-ray absorption near-edge structure (XANES) dataset acquired at the NSRRC TPS 44A quick-EXAFS (QEXAFS) beamline on a Ni sample scanned over an 11 x 11 spatial grid (121 sections total). Stage one applies the standard xraylarch pre_edge routine [1] to obtain edge energy E0, edge step Delta mu 0, and normalized absorption per cell. Stage two evaluates eleven configurable rules producing two orthogonal per-cell flags -- smooth (measurement quality) and consistent (grid-wide chemistry agreement) -- via robust median-absolute-deviation z-scores [7] computed against only cells that pass a hard edge_step gate [3, 8]. Thresholds are data-driven, calibrated from the observed 121-cell distributions. A dedicated rule (C-CUMDIFF) implements Lippold et al.'s criterion 7 [5] adapted to spatial mapping: the reference is the 8-neighbour mean rather than a scan leave-one-out average. The full workflow is exposed through a Tk GUI and a headless CLI, with all thresholds and edge parameters editable from a single tabbed configuration panel.</w:t>
      </w:r>
    </w:p>
    <w:p>
      <w:pPr>
        <w:pStyle w:val="Heading2"/>
      </w:pPr>
      <w:r>
        <w:t>1. Introduction</w:t>
      </w:r>
    </w:p>
    <w:p>
      <w:r>
        <w:t>The NiXZ-121 dataset was acquired on 2025-12-09 at NSRRC TPS 44A using a Si(111) monochromator operated at 1 Hz DAC drive. The beam was rastered over an 11 x 11 grid, producing 121 averaged XANES spectra (approximately 120 scans averaged per section) in transmission mode. Each averaged file contains 4000 energy points from 8058 to 9241 eV, sampling the Ni K-edge (nominal E0 = 8333 eV) at approximately 0.30 eV step. The chemical state at each spatial location must be inferred from the resulting spectrum, but only after establishing that the measurement itself is trustworthy. Manual visual screening of 121 spectra is impractical in a production workflow, motivating the automated framework described here.</w:t>
      </w:r>
    </w:p>
    <w:p>
      <w:r>
        <w:t>Existing XAS quality-control literature focuses either on single bulk-transmission spectra (Gaur et al. [6]) or on repeated scans of the same sample (Lippold et al. [5]). Neither directly addresses the spatial-mapping case, where genuine chemical differences between neighbouring cells must be preserved rather than flagged as artefacts. Our two-flag design (smooth vs consistent) preserves this distinction: a cell whose consistent flag fires but whose smooth flag is clean represents a candidate for further chemical analysis, not a candidate for exclusion. A closely related decision framework for full-field transmission X-ray microscopy is the TXM-Wizard by Liu et al. [3], from which we borrow the edge-jump filter and normalization-slope filter concepts.</w:t>
      </w:r>
    </w:p>
    <w:p>
      <w:pPr>
        <w:pStyle w:val="Heading2"/>
      </w:pPr>
      <w:r>
        <w:t>2. Dataset</w:t>
      </w:r>
    </w:p>
    <w:p>
      <w:pPr>
        <w:pStyle w:val="Heading3"/>
      </w:pPr>
      <w:r>
        <w:t>2.1 Naming and coordinates</w:t>
      </w:r>
    </w:p>
    <w:p>
      <w:r>
        <w:t>The dataset is stored under image_AI_Ni/. Row i in {0, ..., 10} corresponds to a folder Z{i}_{z} with z = i - 5. Column j in {0, ..., 10} corresponds to a file X{j}_{x}_{start}_{end}_XANES.txt with x = 5 - j (note that the X index runs opposite to its physical x-coordinate). Uniqueness therefore requires the pair (zdir, filename); the filename alone is ambiguous because segment indices repeat across Z folders. The centre of the grid, (x, z) = (0, 0), lives at Z5_0/X5_0_668_788_XANES.txt.</w:t>
      </w:r>
    </w:p>
    <w:p>
      <w:pPr>
        <w:pStyle w:val="Heading3"/>
      </w:pPr>
      <w:r>
        <w:t>2.2 File format</w:t>
      </w:r>
    </w:p>
    <w:p>
      <w:r>
        <w:t>Each per-cell file follows the JAQ 3.3.53+ QEXAFS raw text schema. The header lists the beamline software version, DAC / ADC configuration, absorber (Ni), edge energy (8333 eV per the JAQ settings), the averaged spectrum indices, and the source .bin file. Data columns are: point index, energy in eV, mu = ln(col0 / col1) for the sample transmission channel, and mu_ref = ln(col1 / col2) for the reference channel used for absolute energy calibration.</w:t>
      </w:r>
    </w:p>
    <w:p>
      <w:pPr>
        <w:pStyle w:val="Heading2"/>
      </w:pPr>
      <w:r>
        <w:t>3. Stage 1 -- Pre-edge Subtraction and Normalization</w:t>
      </w:r>
    </w:p>
    <w:p>
      <w:r>
        <w:t>Stage one closely follows the xraylarch documentation (Newville, xraylarch 2026.3.1, section 14.2 [1]). The isolate-edge-then-normalize convention -- linear pre-edge subtraction, polynomial post-edge fit, division by edge step -- is standard across all modern XAS analysis packages including ATHENA / ARTEMIS [9] and the earlier IFEFFIT toolkit. An alternative background-removal method (MBACK [4]) uses tabulated absorption cross-sections to anchor the post-edge asymptote and can be preferable for fluorescence data, but transmission-mode QEXAFS data such as ours is well served by the polynomial approach. For each cell we:</w:t>
      </w:r>
    </w:p>
    <w:p>
      <w:pPr>
        <w:pStyle w:val="ListNumber"/>
      </w:pPr>
      <w:r>
        <w:t>Read energy, mu, mu_ref via numpy.loadtxt with comments='#'.</w:t>
      </w:r>
    </w:p>
    <w:p>
      <w:pPr>
        <w:pStyle w:val="ListNumber"/>
      </w:pPr>
      <w:r>
        <w:t>Determine E0 as the maximum of the first derivative dmu/dE, computed by numpy.gradient.</w:t>
      </w:r>
    </w:p>
    <w:p>
      <w:pPr>
        <w:pStyle w:val="ListNumber"/>
      </w:pPr>
      <w:r>
        <w:t>Fit a linear pre-edge in the window [E0 + pre1, E0 + pre2] and a polynomial post-edge in [E0 + norm1, E0 + norm2]. The polynomial order nnorm defaults to 2 for windows wider than 350 eV; the pre-edge fit uses nvict = 0.</w:t>
      </w:r>
    </w:p>
    <w:p>
      <w:pPr>
        <w:pStyle w:val="ListNumber"/>
      </w:pPr>
      <w:r>
        <w:t>Compute the edge step:</w:t>
      </w:r>
    </w:p>
    <w:p>
      <m:oMathPara>
        <m:oMath>
          <m:sSub>
            <m:e>
              <m:r>
                <m:rPr>
                  <m:sty m:val="i"/>
                </m:rPr>
                <m:t xml:space="preserve">Δμ</m:t>
              </m:r>
            </m:e>
            <m:sub>
              <m:r>
                <m:t xml:space="preserve">0</m:t>
              </m:r>
            </m:sub>
          </m:sSub>
          <m:r>
            <m:t xml:space="preserve"> = </m:t>
          </m:r>
          <m:r>
            <m:t xml:space="preserve">post(</m:t>
          </m:r>
          <m:sSub>
            <m:e>
              <m:r>
                <m:rPr>
                  <m:sty m:val="i"/>
                </m:rPr>
                <m:t xml:space="preserve">E</m:t>
              </m:r>
            </m:e>
            <m:sub>
              <m:r>
                <m:t xml:space="preserve">0</m:t>
              </m:r>
            </m:sub>
          </m:sSub>
          <m:r>
            <m:t xml:space="preserve">) − pre(</m:t>
          </m:r>
          <m:sSub>
            <m:e>
              <m:r>
                <m:rPr>
                  <m:sty m:val="i"/>
                </m:rPr>
                <m:t xml:space="preserve">E</m:t>
              </m:r>
            </m:e>
            <m:sub>
              <m:r>
                <m:t xml:space="preserve">0</m:t>
              </m:r>
            </m:sub>
          </m:sSub>
          <m:r>
            <m:t xml:space="preserve">)</m:t>
          </m:r>
        </m:oMath>
      </m:oMathPara>
    </w:p>
    <w:p>
      <w:pPr>
        <w:pStyle w:val="ListNumber"/>
      </w:pPr>
      <w:r>
        <w:t>Compute the normalized and flattened spectra:</w:t>
      </w:r>
    </w:p>
    <w:p>
      <m:oMathPara>
        <m:oMath>
          <m:r>
            <m:rPr>
              <m:sty m:val="i"/>
            </m:rPr>
            <m:t xml:space="preserve">norm(</m:t>
          </m:r>
          <m:r>
            <m:rPr>
              <m:sty m:val="i"/>
            </m:rPr>
            <m:t xml:space="preserve">E</m:t>
          </m:r>
          <m:r>
            <m:t xml:space="preserve">)</m:t>
          </m:r>
          <m:r>
            <m:t xml:space="preserve"> = </m:t>
          </m:r>
          <m:f>
            <m:num>
              <m:r>
                <m:rPr>
                  <m:sty m:val="i"/>
                </m:rPr>
                <m:t xml:space="preserve">μ(</m:t>
              </m:r>
              <m:r>
                <m:rPr>
                  <m:sty m:val="i"/>
                </m:rPr>
                <m:t xml:space="preserve">E</m:t>
              </m:r>
              <m:r>
                <m:t xml:space="preserve">) − pre(</m:t>
              </m:r>
              <m:r>
                <m:rPr>
                  <m:sty m:val="i"/>
                </m:rPr>
                <m:t xml:space="preserve">E</m:t>
              </m:r>
              <m:r>
                <m:t xml:space="preserve">)</m:t>
              </m:r>
            </m:num>
            <m:den>
              <m:sSub>
                <m:e>
                  <m:r>
                    <m:rPr>
                      <m:sty m:val="i"/>
                    </m:rPr>
                    <m:t xml:space="preserve">Δμ</m:t>
                  </m:r>
                </m:e>
                <m:sub>
                  <m:r>
                    <m:t xml:space="preserve">0</m:t>
                  </m:r>
                </m:sub>
              </m:sSub>
            </m:den>
          </m:f>
        </m:oMath>
      </m:oMathPara>
    </w:p>
    <w:p>
      <w:r>
        <w:t>The flat variant additionally subtracts the post-edge polynomial above E0 so that residual atomic absorption is removed and the post-edge baseline sits at unity.</w:t>
      </w:r>
    </w:p>
    <w:p>
      <w:pPr>
        <w:pStyle w:val="ListNumber"/>
      </w:pPr>
      <w:r>
        <w:t>Compute six scalar quality metrics Q1-Q6 (edge step, high-frequency post-edge noise, pre-edge fit residual, E0 shift versus reference channel, glitch count, white-line height), an edge-derivative full-width at half-maximum, and persist the pre_edge polynomial coefficients pre_slope, norm_c0, norm_c1, norm_c2.</w:t>
      </w:r>
    </w:p>
    <w:p>
      <w:r>
        <w:t>The per-cell output is a compressed .npz containing all arrays (energy, mu, mu_ref, pre_edge line, post_edge curve, norm, flat, e0, edge_step in float32) plus a JSON sidecar with scalar metadata and metrics. Two PNG plots (pre-edge subtraction and normalized/flattened views) are also produced for offline inspection.</w:t>
      </w:r>
    </w:p>
    <w:p>
      <w:pPr>
        <w:pStyle w:val="Heading2"/>
      </w:pPr>
      <w:r>
        <w:t>4. Stage 2 -- Rule-based Quality Assessment</w:t>
      </w:r>
    </w:p>
    <w:p>
      <w:pPr>
        <w:pStyle w:val="Heading3"/>
      </w:pPr>
      <w:r>
        <w:t>4.1 Framework</w:t>
      </w:r>
    </w:p>
    <w:p>
      <w:r>
        <w:t>Stage two operates entirely on the stage-one cache; xraylarch is not called. Each of eleven rules produces a RuleResult with one of four levels: PASS (0), WARN (1), FAIL (2), or N/A (not applicable). Rules are tagged with a flag in {gate, smooth, consistent} and a scope in {cell, grid}. A dependency graph (requires) determines topological execution order. Two flags per cell are then produced by the worst-of combination:</w:t>
      </w:r>
    </w:p>
    <w:p>
      <m:oMathPara>
        <m:oMath>
          <m:r>
            <m:rPr>
              <m:sty m:val="i"/>
            </m:rPr>
            <m:t xml:space="preserve">smooth</m:t>
          </m:r>
          <m:r>
            <m:t xml:space="preserve"> = </m:t>
          </m:r>
          <m:r>
            <m:t xml:space="preserve">max</m:t>
          </m:r>
          <m:r>
            <m:t xml:space="preserve">{ </m:t>
          </m:r>
          <m:r>
            <m:rPr>
              <m:sty m:val="i"/>
            </m:rPr>
            <m:t xml:space="preserve">level</m:t>
          </m:r>
          <m:r>
            <m:t xml:space="preserve"> : </m:t>
          </m:r>
          <m:r>
            <m:rPr>
              <m:sty m:val="i"/>
            </m:rPr>
            <m:t xml:space="preserve">rule</m:t>
          </m:r>
          <m:r>
            <m:t xml:space="preserve"> ∈ smooth, rule evaluated }</m:t>
          </m:r>
        </m:oMath>
      </m:oMathPara>
    </w:p>
    <w:p>
      <m:oMathPara>
        <m:oMath>
          <m:r>
            <m:rPr>
              <m:sty m:val="i"/>
            </m:rPr>
            <m:t xml:space="preserve">consistent</m:t>
          </m:r>
          <m:r>
            <m:t xml:space="preserve"> = </m:t>
          </m:r>
          <m:r>
            <m:t xml:space="preserve">max</m:t>
          </m:r>
          <m:r>
            <m:t xml:space="preserve">{ </m:t>
          </m:r>
          <m:r>
            <m:rPr>
              <m:sty m:val="i"/>
            </m:rPr>
            <m:t xml:space="preserve">level</m:t>
          </m:r>
          <m:r>
            <m:t xml:space="preserve"> : </m:t>
          </m:r>
          <m:r>
            <m:rPr>
              <m:sty m:val="i"/>
            </m:rPr>
            <m:t xml:space="preserve">rule</m:t>
          </m:r>
          <m:r>
            <m:t xml:space="preserve"> ∈ consistent, rule evaluated }</m:t>
          </m:r>
        </m:oMath>
      </m:oMathPara>
    </w:p>
    <w:p>
      <w:r>
        <w:t>A cell is deemed usable when the GATE-EDGE gate passes and smooth is PASS or WARN. The consistent flag deliberately does not affect usability, because a consistent-only failure may indicate real chemistry rather than a measurement fault.</w:t>
      </w:r>
    </w:p>
    <w:p>
      <w:pPr>
        <w:pStyle w:val="Heading3"/>
      </w:pPr>
      <w:r>
        <w:t>4.2 Robust z-score</w:t>
      </w:r>
    </w:p>
    <w:p>
      <w:r>
        <w:t>All grid-scoped rules use a robust z-score based on median and median-absolute deviation (MAD), following Leys et al. [7]:</w:t>
      </w:r>
    </w:p>
    <w:p>
      <m:oMathPara>
        <m:oMath>
          <m:sSub>
            <m:e>
              <m:r>
                <m:rPr>
                  <m:sty m:val="i"/>
                </m:rPr>
                <m:t xml:space="preserve">z</m:t>
              </m:r>
            </m:e>
            <m:sub>
              <m:r>
                <m:t xml:space="preserve">k</m:t>
              </m:r>
            </m:sub>
          </m:sSub>
          <m:r>
            <m:t xml:space="preserve"> = </m:t>
          </m:r>
          <m:f>
            <m:num>
              <m:sSub>
                <m:e>
                  <m:r>
                    <m:rPr>
                      <m:sty m:val="i"/>
                    </m:rPr>
                    <m:t xml:space="preserve">v</m:t>
                  </m:r>
                </m:e>
                <m:sub>
                  <m:r>
                    <m:t xml:space="preserve">k</m:t>
                  </m:r>
                </m:sub>
              </m:sSub>
              <m:r>
                <m:t xml:space="preserve"> − median(</m:t>
              </m:r>
              <m:r>
                <m:rPr>
                  <m:sty m:val="i"/>
                </m:rPr>
                <m:t xml:space="preserve">v</m:t>
              </m:r>
              <m:r>
                <m:t xml:space="preserve">)</m:t>
              </m:r>
            </m:num>
            <m:den>
              <m:r>
                <m:t xml:space="preserve">1.4826 · MAD(</m:t>
              </m:r>
              <m:r>
                <m:rPr>
                  <m:sty m:val="i"/>
                </m:rPr>
                <m:t xml:space="preserve">v</m:t>
              </m:r>
              <m:r>
                <m:t xml:space="preserve">)</m:t>
              </m:r>
            </m:den>
          </m:f>
        </m:oMath>
      </m:oMathPara>
    </w:p>
    <w:p>
      <w:r>
        <w:t>The scale factor 1.4826 = 1 / Phi^{-1}(0.75) ensures that the resulting z is unit-normal-distributed for large samples drawn from N(0, sigma^2). Median and MAD are computed only over cells passing GATE-EDGE, so off-sample pixels do not skew the baseline. When MAD evaluates to zero (unrealistically uniform grid), the rule returns N/A rather than falsely PASSing. Leys et al. [7] recommend warn_z = 2.5 as a sensible default for real experimental distributions and warn_z = 3 as very conservative; classical standard-deviation-based outlier detection has a breakdown point of 0% (a single arbitrary outlier can move the mean and inflate the standard deviation without bound), whereas MAD has a breakdown point of 50%, making it robust to the very artefacts we are trying to detect.</w:t>
      </w:r>
    </w:p>
    <w:p>
      <w:pPr>
        <w:pStyle w:val="Heading3"/>
      </w:pPr>
      <w:r>
        <w:t>4.3 Energy calibration</w:t>
      </w:r>
    </w:p>
    <w:p>
      <w:r>
        <w:t>The mu_ref channel provides an absolute-energy reference. Its E0 on the current dataset is offset from the tabulated Ni K value (8333 eV) by approximately +13 eV, reflecting a systematic monochromator scaling error. We therefore compute a per-cell energy correction:</w:t>
      </w:r>
    </w:p>
    <w:p>
      <m:oMathPara>
        <m:oMath>
          <m:sSub>
            <m:e>
              <m:r>
                <m:rPr>
                  <m:sty m:val="i"/>
                </m:rPr>
                <m:t xml:space="preserve">shift</m:t>
              </m:r>
            </m:e>
            <m:sub>
              <m:r>
                <m:t xml:space="preserve">k</m:t>
              </m:r>
            </m:sub>
          </m:sSub>
          <m:r>
            <m:t xml:space="preserve"> = </m:t>
          </m:r>
          <m:sSub>
            <m:e>
              <m:r>
                <m:rPr>
                  <m:sty m:val="i"/>
                </m:rPr>
                <m:t xml:space="preserve">E</m:t>
              </m:r>
            </m:e>
            <m:sub>
              <m:r>
                <m:t xml:space="preserve">0,ref,k</m:t>
              </m:r>
            </m:sub>
          </m:sSub>
          <m:r>
            <m:t xml:space="preserve"> − median(</m:t>
          </m:r>
          <m:sSub>
            <m:e>
              <m:r>
                <m:rPr>
                  <m:sty m:val="i"/>
                </m:rPr>
                <m:t xml:space="preserve">E</m:t>
              </m:r>
            </m:e>
            <m:sub>
              <m:r>
                <m:t xml:space="preserve">0,ref</m:t>
              </m:r>
            </m:sub>
          </m:sSub>
          <m:r>
            <m:t xml:space="preserve">)</m:t>
          </m:r>
        </m:oMath>
      </m:oMathPara>
    </w:p>
    <w:p>
      <w:r>
        <w:t>This shift is applied both to the energy axis when interpolating spectra onto a common grid (for C-SHAPE and C-CUMDIFF), and to the sample E0 when comparing to neighbours (for C-E0-NBR). Note that we align to the grid median rather than to the tabulated absolute value; the absolute monochromator offset is monitored separately by the CAL-EREF L1 check.</w:t>
      </w:r>
    </w:p>
    <w:p>
      <w:pPr>
        <w:pStyle w:val="Heading3"/>
      </w:pPr>
      <w:r>
        <w:t>4.4 Rule catalogue and physical basis</w:t>
      </w:r>
    </w:p>
    <w:p>
      <w:r>
        <w:t>The current implementation registers the following eleven rules. Each row lists the rule ID, flag, scope, prerequisite rules, and the underlying observable. The narrative below the table maps each rule (or rule cluster) to the physical or statistical result it operationalises, and to the source in which that result was first described.</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t>ID</w:t>
            </w:r>
          </w:p>
        </w:tc>
        <w:tc>
          <w:tcPr>
            <w:tcW w:type="dxa" w:w="1881"/>
          </w:tcPr>
          <w:p>
            <w:r>
              <w:rPr>
                <w:b/>
                <w:sz w:val="20"/>
              </w:rPr>
              <w:t>Flag</w:t>
            </w:r>
          </w:p>
        </w:tc>
        <w:tc>
          <w:tcPr>
            <w:tcW w:type="dxa" w:w="1881"/>
          </w:tcPr>
          <w:p>
            <w:r>
              <w:rPr>
                <w:b/>
                <w:sz w:val="20"/>
              </w:rPr>
              <w:t>Scope</w:t>
            </w:r>
          </w:p>
        </w:tc>
        <w:tc>
          <w:tcPr>
            <w:tcW w:type="dxa" w:w="1881"/>
          </w:tcPr>
          <w:p>
            <w:r>
              <w:rPr>
                <w:b/>
                <w:sz w:val="20"/>
              </w:rPr>
              <w:t>Requires</w:t>
            </w:r>
          </w:p>
        </w:tc>
        <w:tc>
          <w:tcPr>
            <w:tcW w:type="dxa" w:w="1881"/>
          </w:tcPr>
          <w:p>
            <w:r>
              <w:rPr>
                <w:b/>
                <w:sz w:val="20"/>
              </w:rPr>
              <w:t>Observable / decision</w:t>
            </w:r>
          </w:p>
        </w:tc>
      </w:tr>
      <w:tr>
        <w:tc>
          <w:tcPr>
            <w:tcW w:type="dxa" w:w="1881"/>
          </w:tcPr>
          <w:p>
            <w:r>
              <w:rPr>
                <w:sz w:val="18"/>
              </w:rPr>
              <w:t>GATE-EDGE</w:t>
            </w:r>
          </w:p>
        </w:tc>
        <w:tc>
          <w:tcPr>
            <w:tcW w:type="dxa" w:w="1881"/>
          </w:tcPr>
          <w:p>
            <w:r>
              <w:rPr>
                <w:sz w:val="18"/>
              </w:rPr>
              <w:t>gate</w:t>
            </w:r>
          </w:p>
        </w:tc>
        <w:tc>
          <w:tcPr>
            <w:tcW w:type="dxa" w:w="1881"/>
          </w:tcPr>
          <w:p>
            <w:r>
              <w:rPr>
                <w:sz w:val="18"/>
              </w:rPr>
              <w:t>cell</w:t>
            </w:r>
          </w:p>
        </w:tc>
        <w:tc>
          <w:tcPr>
            <w:tcW w:type="dxa" w:w="1881"/>
          </w:tcPr>
          <w:p>
            <w:r>
              <w:rPr>
                <w:sz w:val="18"/>
              </w:rPr>
              <w:t>-</w:t>
            </w:r>
          </w:p>
        </w:tc>
        <w:tc>
          <w:tcPr>
            <w:tcW w:type="dxa" w:w="1881"/>
          </w:tcPr>
          <w:p>
            <w:r>
              <w:rPr>
                <w:sz w:val="18"/>
              </w:rPr>
              <w:t>edge_step in [min, max]; else FAIL, excluded from baseline</w:t>
            </w:r>
          </w:p>
        </w:tc>
      </w:tr>
      <w:tr>
        <w:tc>
          <w:tcPr>
            <w:tcW w:type="dxa" w:w="1881"/>
          </w:tcPr>
          <w:p>
            <w:r>
              <w:rPr>
                <w:sz w:val="18"/>
              </w:rPr>
              <w:t>CAL-EREF</w:t>
            </w:r>
          </w:p>
        </w:tc>
        <w:tc>
          <w:tcPr>
            <w:tcW w:type="dxa" w:w="1881"/>
          </w:tcPr>
          <w:p>
            <w:r>
              <w:rPr>
                <w:sz w:val="18"/>
              </w:rPr>
              <w:t>gate</w:t>
            </w:r>
          </w:p>
        </w:tc>
        <w:tc>
          <w:tcPr>
            <w:tcW w:type="dxa" w:w="1881"/>
          </w:tcPr>
          <w:p>
            <w:r>
              <w:rPr>
                <w:sz w:val="18"/>
              </w:rPr>
              <w:t>grid</w:t>
            </w:r>
          </w:p>
        </w:tc>
        <w:tc>
          <w:tcPr>
            <w:tcW w:type="dxa" w:w="1881"/>
          </w:tcPr>
          <w:p>
            <w:r>
              <w:rPr>
                <w:sz w:val="18"/>
              </w:rPr>
              <w:t>-</w:t>
            </w:r>
          </w:p>
        </w:tc>
        <w:tc>
          <w:tcPr>
            <w:tcW w:type="dxa" w:w="1881"/>
          </w:tcPr>
          <w:p>
            <w:r>
              <w:rPr>
                <w:sz w:val="18"/>
              </w:rPr>
              <w:t>L1: mu_ref_e0 - e0_nominal in mono_offset_window; L3: |mu_ref_e0 - median| &lt; ref_e0_spread_tol</w:t>
            </w:r>
          </w:p>
        </w:tc>
      </w:tr>
      <w:tr>
        <w:tc>
          <w:tcPr>
            <w:tcW w:type="dxa" w:w="1881"/>
          </w:tcPr>
          <w:p>
            <w:r>
              <w:rPr>
                <w:sz w:val="18"/>
              </w:rPr>
              <w:t>R-SNR</w:t>
            </w:r>
          </w:p>
        </w:tc>
        <w:tc>
          <w:tcPr>
            <w:tcW w:type="dxa" w:w="1881"/>
          </w:tcPr>
          <w:p>
            <w:r>
              <w:rPr>
                <w:sz w:val="18"/>
              </w:rPr>
              <w:t>smooth</w:t>
            </w:r>
          </w:p>
        </w:tc>
        <w:tc>
          <w:tcPr>
            <w:tcW w:type="dxa" w:w="1881"/>
          </w:tcPr>
          <w:p>
            <w:r>
              <w:rPr>
                <w:sz w:val="18"/>
              </w:rPr>
              <w:t>grid</w:t>
            </w:r>
          </w:p>
        </w:tc>
        <w:tc>
          <w:tcPr>
            <w:tcW w:type="dxa" w:w="1881"/>
          </w:tcPr>
          <w:p>
            <w:r>
              <w:rPr>
                <w:sz w:val="18"/>
              </w:rPr>
              <w:t>GATE-EDGE</w:t>
            </w:r>
          </w:p>
        </w:tc>
        <w:tc>
          <w:tcPr>
            <w:tcW w:type="dxa" w:w="1881"/>
          </w:tcPr>
          <w:p>
            <w:r>
              <w:rPr>
                <w:sz w:val="18"/>
              </w:rPr>
              <w:t>SNR = edge_step / q3_pre_flatness; lower-tail robust z</w:t>
            </w:r>
          </w:p>
        </w:tc>
      </w:tr>
      <w:tr>
        <w:tc>
          <w:tcPr>
            <w:tcW w:type="dxa" w:w="1881"/>
          </w:tcPr>
          <w:p>
            <w:r>
              <w:rPr>
                <w:sz w:val="18"/>
              </w:rPr>
              <w:t>R-NOISE-HF</w:t>
            </w:r>
          </w:p>
        </w:tc>
        <w:tc>
          <w:tcPr>
            <w:tcW w:type="dxa" w:w="1881"/>
          </w:tcPr>
          <w:p>
            <w:r>
              <w:rPr>
                <w:sz w:val="18"/>
              </w:rPr>
              <w:t>smooth</w:t>
            </w:r>
          </w:p>
        </w:tc>
        <w:tc>
          <w:tcPr>
            <w:tcW w:type="dxa" w:w="1881"/>
          </w:tcPr>
          <w:p>
            <w:r>
              <w:rPr>
                <w:sz w:val="18"/>
              </w:rPr>
              <w:t>grid</w:t>
            </w:r>
          </w:p>
        </w:tc>
        <w:tc>
          <w:tcPr>
            <w:tcW w:type="dxa" w:w="1881"/>
          </w:tcPr>
          <w:p>
            <w:r>
              <w:rPr>
                <w:sz w:val="18"/>
              </w:rPr>
              <w:t>GATE-EDGE</w:t>
            </w:r>
          </w:p>
        </w:tc>
        <w:tc>
          <w:tcPr>
            <w:tcW w:type="dxa" w:w="1881"/>
          </w:tcPr>
          <w:p>
            <w:r>
              <w:rPr>
                <w:sz w:val="18"/>
              </w:rPr>
              <w:t>RMS of 2nd difference of flat for E &gt;= E0 + 150 eV; upper-tail z</w:t>
            </w:r>
          </w:p>
        </w:tc>
      </w:tr>
      <w:tr>
        <w:tc>
          <w:tcPr>
            <w:tcW w:type="dxa" w:w="1881"/>
          </w:tcPr>
          <w:p>
            <w:r>
              <w:rPr>
                <w:sz w:val="18"/>
              </w:rPr>
              <w:t>R-PRE-FLAT</w:t>
            </w:r>
          </w:p>
        </w:tc>
        <w:tc>
          <w:tcPr>
            <w:tcW w:type="dxa" w:w="1881"/>
          </w:tcPr>
          <w:p>
            <w:r>
              <w:rPr>
                <w:sz w:val="18"/>
              </w:rPr>
              <w:t>smooth</w:t>
            </w:r>
          </w:p>
        </w:tc>
        <w:tc>
          <w:tcPr>
            <w:tcW w:type="dxa" w:w="1881"/>
          </w:tcPr>
          <w:p>
            <w:r>
              <w:rPr>
                <w:sz w:val="18"/>
              </w:rPr>
              <w:t>grid</w:t>
            </w:r>
          </w:p>
        </w:tc>
        <w:tc>
          <w:tcPr>
            <w:tcW w:type="dxa" w:w="1881"/>
          </w:tcPr>
          <w:p>
            <w:r>
              <w:rPr>
                <w:sz w:val="18"/>
              </w:rPr>
              <w:t>GATE-EDGE</w:t>
            </w:r>
          </w:p>
        </w:tc>
        <w:tc>
          <w:tcPr>
            <w:tcW w:type="dxa" w:w="1881"/>
          </w:tcPr>
          <w:p>
            <w:r>
              <w:rPr>
                <w:sz w:val="18"/>
              </w:rPr>
              <w:t>Pre-edge linear-fit residual RMS; upper-tail z</w:t>
            </w:r>
          </w:p>
        </w:tc>
      </w:tr>
      <w:tr>
        <w:tc>
          <w:tcPr>
            <w:tcW w:type="dxa" w:w="1881"/>
          </w:tcPr>
          <w:p>
            <w:r>
              <w:rPr>
                <w:sz w:val="18"/>
              </w:rPr>
              <w:t>R-GLITCH</w:t>
            </w:r>
          </w:p>
        </w:tc>
        <w:tc>
          <w:tcPr>
            <w:tcW w:type="dxa" w:w="1881"/>
          </w:tcPr>
          <w:p>
            <w:r>
              <w:rPr>
                <w:sz w:val="18"/>
              </w:rPr>
              <w:t>smooth</w:t>
            </w:r>
          </w:p>
        </w:tc>
        <w:tc>
          <w:tcPr>
            <w:tcW w:type="dxa" w:w="1881"/>
          </w:tcPr>
          <w:p>
            <w:r>
              <w:rPr>
                <w:sz w:val="18"/>
              </w:rPr>
              <w:t>grid</w:t>
            </w:r>
          </w:p>
        </w:tc>
        <w:tc>
          <w:tcPr>
            <w:tcW w:type="dxa" w:w="1881"/>
          </w:tcPr>
          <w:p>
            <w:r>
              <w:rPr>
                <w:sz w:val="18"/>
              </w:rPr>
              <w:t>GATE-EDGE</w:t>
            </w:r>
          </w:p>
        </w:tc>
        <w:tc>
          <w:tcPr>
            <w:tcW w:type="dxa" w:w="1881"/>
          </w:tcPr>
          <w:p>
            <w:r>
              <w:rPr>
                <w:sz w:val="18"/>
              </w:rPr>
              <w:t>MAD-outlier point count on flat for E &gt;= E0 + 150; abs &gt; max_count =&gt; FAIL</w:t>
            </w:r>
          </w:p>
        </w:tc>
      </w:tr>
      <w:tr>
        <w:tc>
          <w:tcPr>
            <w:tcW w:type="dxa" w:w="1881"/>
          </w:tcPr>
          <w:p>
            <w:r>
              <w:rPr>
                <w:sz w:val="18"/>
              </w:rPr>
              <w:t>R-EDGE-FWHM</w:t>
            </w:r>
          </w:p>
        </w:tc>
        <w:tc>
          <w:tcPr>
            <w:tcW w:type="dxa" w:w="1881"/>
          </w:tcPr>
          <w:p>
            <w:r>
              <w:rPr>
                <w:sz w:val="18"/>
              </w:rPr>
              <w:t>smooth</w:t>
            </w:r>
          </w:p>
        </w:tc>
        <w:tc>
          <w:tcPr>
            <w:tcW w:type="dxa" w:w="1881"/>
          </w:tcPr>
          <w:p>
            <w:r>
              <w:rPr>
                <w:sz w:val="18"/>
              </w:rPr>
              <w:t>grid</w:t>
            </w:r>
          </w:p>
        </w:tc>
        <w:tc>
          <w:tcPr>
            <w:tcW w:type="dxa" w:w="1881"/>
          </w:tcPr>
          <w:p>
            <w:r>
              <w:rPr>
                <w:sz w:val="18"/>
              </w:rPr>
              <w:t>GATE-EDGE</w:t>
            </w:r>
          </w:p>
        </w:tc>
        <w:tc>
          <w:tcPr>
            <w:tcW w:type="dxa" w:w="1881"/>
          </w:tcPr>
          <w:p>
            <w:r>
              <w:rPr>
                <w:sz w:val="18"/>
              </w:rPr>
              <w:t>FWHM of dmu/dE in E0 +/- 15 eV; two-sided z</w:t>
            </w:r>
          </w:p>
        </w:tc>
      </w:tr>
      <w:tr>
        <w:tc>
          <w:tcPr>
            <w:tcW w:type="dxa" w:w="1881"/>
          </w:tcPr>
          <w:p>
            <w:r>
              <w:rPr>
                <w:sz w:val="18"/>
              </w:rPr>
              <w:t>R-NORM-COEFS</w:t>
            </w:r>
          </w:p>
        </w:tc>
        <w:tc>
          <w:tcPr>
            <w:tcW w:type="dxa" w:w="1881"/>
          </w:tcPr>
          <w:p>
            <w:r>
              <w:rPr>
                <w:sz w:val="18"/>
              </w:rPr>
              <w:t>smooth</w:t>
            </w:r>
          </w:p>
        </w:tc>
        <w:tc>
          <w:tcPr>
            <w:tcW w:type="dxa" w:w="1881"/>
          </w:tcPr>
          <w:p>
            <w:r>
              <w:rPr>
                <w:sz w:val="18"/>
              </w:rPr>
              <w:t>grid</w:t>
            </w:r>
          </w:p>
        </w:tc>
        <w:tc>
          <w:tcPr>
            <w:tcW w:type="dxa" w:w="1881"/>
          </w:tcPr>
          <w:p>
            <w:r>
              <w:rPr>
                <w:sz w:val="18"/>
              </w:rPr>
              <w:t>GATE-EDGE</w:t>
            </w:r>
          </w:p>
        </w:tc>
        <w:tc>
          <w:tcPr>
            <w:tcW w:type="dxa" w:w="1881"/>
          </w:tcPr>
          <w:p>
            <w:r>
              <w:rPr>
                <w:sz w:val="18"/>
              </w:rPr>
              <w:t>max|z| over pre_slope, norm_c1, norm_c2</w:t>
            </w:r>
          </w:p>
        </w:tc>
      </w:tr>
      <w:tr>
        <w:tc>
          <w:tcPr>
            <w:tcW w:type="dxa" w:w="1881"/>
          </w:tcPr>
          <w:p>
            <w:r>
              <w:rPr>
                <w:sz w:val="18"/>
              </w:rPr>
              <w:t>C-SHAPE</w:t>
            </w:r>
          </w:p>
        </w:tc>
        <w:tc>
          <w:tcPr>
            <w:tcW w:type="dxa" w:w="1881"/>
          </w:tcPr>
          <w:p>
            <w:r>
              <w:rPr>
                <w:sz w:val="18"/>
              </w:rPr>
              <w:t>consistent</w:t>
            </w:r>
          </w:p>
        </w:tc>
        <w:tc>
          <w:tcPr>
            <w:tcW w:type="dxa" w:w="1881"/>
          </w:tcPr>
          <w:p>
            <w:r>
              <w:rPr>
                <w:sz w:val="18"/>
              </w:rPr>
              <w:t>grid</w:t>
            </w:r>
          </w:p>
        </w:tc>
        <w:tc>
          <w:tcPr>
            <w:tcW w:type="dxa" w:w="1881"/>
          </w:tcPr>
          <w:p>
            <w:r>
              <w:rPr>
                <w:sz w:val="18"/>
              </w:rPr>
              <w:t>GATE-EDGE, CAL-EREF</w:t>
            </w:r>
          </w:p>
        </w:tc>
        <w:tc>
          <w:tcPr>
            <w:tcW w:type="dxa" w:w="1881"/>
          </w:tcPr>
          <w:p>
            <w:r>
              <w:rPr>
                <w:sz w:val="18"/>
              </w:rPr>
              <w:t>R-factor of interpolated norm vs cross-cell pointwise median; upper-tail z</w:t>
            </w:r>
          </w:p>
        </w:tc>
      </w:tr>
      <w:tr>
        <w:tc>
          <w:tcPr>
            <w:tcW w:type="dxa" w:w="1881"/>
          </w:tcPr>
          <w:p>
            <w:r>
              <w:rPr>
                <w:sz w:val="18"/>
              </w:rPr>
              <w:t>C-E0-NBR</w:t>
            </w:r>
          </w:p>
        </w:tc>
        <w:tc>
          <w:tcPr>
            <w:tcW w:type="dxa" w:w="1881"/>
          </w:tcPr>
          <w:p>
            <w:r>
              <w:rPr>
                <w:sz w:val="18"/>
              </w:rPr>
              <w:t>consistent</w:t>
            </w:r>
          </w:p>
        </w:tc>
        <w:tc>
          <w:tcPr>
            <w:tcW w:type="dxa" w:w="1881"/>
          </w:tcPr>
          <w:p>
            <w:r>
              <w:rPr>
                <w:sz w:val="18"/>
              </w:rPr>
              <w:t>grid</w:t>
            </w:r>
          </w:p>
        </w:tc>
        <w:tc>
          <w:tcPr>
            <w:tcW w:type="dxa" w:w="1881"/>
          </w:tcPr>
          <w:p>
            <w:r>
              <w:rPr>
                <w:sz w:val="18"/>
              </w:rPr>
              <w:t>GATE-EDGE, CAL-EREF</w:t>
            </w:r>
          </w:p>
        </w:tc>
        <w:tc>
          <w:tcPr>
            <w:tcW w:type="dxa" w:w="1881"/>
          </w:tcPr>
          <w:p>
            <w:r>
              <w:rPr>
                <w:sz w:val="18"/>
              </w:rPr>
              <w:t>Corrected E0 vs 8-neighbour median; two-sided z</w:t>
            </w:r>
          </w:p>
        </w:tc>
      </w:tr>
      <w:tr>
        <w:tc>
          <w:tcPr>
            <w:tcW w:type="dxa" w:w="1881"/>
          </w:tcPr>
          <w:p>
            <w:r>
              <w:rPr>
                <w:sz w:val="18"/>
              </w:rPr>
              <w:t>C-CUMDIFF</w:t>
            </w:r>
          </w:p>
        </w:tc>
        <w:tc>
          <w:tcPr>
            <w:tcW w:type="dxa" w:w="1881"/>
          </w:tcPr>
          <w:p>
            <w:r>
              <w:rPr>
                <w:sz w:val="18"/>
              </w:rPr>
              <w:t>consistent</w:t>
            </w:r>
          </w:p>
        </w:tc>
        <w:tc>
          <w:tcPr>
            <w:tcW w:type="dxa" w:w="1881"/>
          </w:tcPr>
          <w:p>
            <w:r>
              <w:rPr>
                <w:sz w:val="18"/>
              </w:rPr>
              <w:t>grid</w:t>
            </w:r>
          </w:p>
        </w:tc>
        <w:tc>
          <w:tcPr>
            <w:tcW w:type="dxa" w:w="1881"/>
          </w:tcPr>
          <w:p>
            <w:r>
              <w:rPr>
                <w:sz w:val="18"/>
              </w:rPr>
              <w:t>GATE-EDGE, CAL-EREF</w:t>
            </w:r>
          </w:p>
        </w:tc>
        <w:tc>
          <w:tcPr>
            <w:tcW w:type="dxa" w:w="1881"/>
          </w:tcPr>
          <w:p>
            <w:r>
              <w:rPr>
                <w:sz w:val="18"/>
              </w:rPr>
              <w:t>Lippold 2005 criterion 7 vs 8-neighbour mean; upper-tail z (opt-in)</w:t>
            </w:r>
          </w:p>
        </w:tc>
      </w:tr>
    </w:tbl>
    <w:p>
      <w:r>
        <w:t>GATE-EDGE bounds. The lower bound implements a version of the TXM-Wizard edge-jump filter [3], which rejects pixels whose edge step falls below a user-set multiple of the local pre-edge noise. For a transmission-mode measurement at a photon energy above the absorption edge, the sample's absorptance follows the Beer-Lambert law A = 1 - exp(-mu * t * rho), so the observable edge step is monotonically increasing in the product of areal absorber density and thickness. Cells whose edge step falls below 0.10 correspond to a Ni areal loading indistinguishable from zero for our beam profile, i.e. off-sample or void pixels. The upper bound protects against the thickness effect described by Stern and Kim [8]: at total absorption products above roughly mu * t ~ 2.5, the measured pre-edge to post-edge jump saturates, distorting the white-line amplitude and the EXAFS oscillations. Gaur et al. [6] adopt the wider range [0.5, 2.0] for bulk-transmission single-spectrum acquisition; we use [0.10, 1.5] to preserve the physical meaning of the lower bound for our mapping case, in which off-sample pixels are expected.</w:t>
      </w:r>
    </w:p>
    <w:p>
      <w:r>
        <w:t>CAL-EREF. Absolute energy calibration against a foil placed downstream of the sample is standard beamline practice [6]. Our L1 check confirms the reference channel's E0 lands close enough to the tabulated Ni K edge value that the identification is unambiguous; the wide default window [-5, 25] eV accommodates the current beamline's systematic monochromator scaling offset of approximately +13 eV. L3 checks internal consistency: because the same reference foil is measured simultaneously with every cell, its E0 should be spatially constant across the grid. Any significant scatter indicates a scan-time drift in the monochromator or in the pixel-time energy reconstruction. The current 121-cell run has 77 L3 WARN cells, motivating either an increase in ref_e0_spread_tol_eV or a look at row-time correlation.</w:t>
      </w:r>
    </w:p>
    <w:p>
      <w:r>
        <w:t>R-SNR and R-PRE-FLAT. The classical TXM-Wizard normalization filter [3] flags pixels whose fitted pre-edge slope is anomalously large; we split the underlying concern into two rules with different observables. R-PRE-FLAT looks at the residual of the linear pre-edge fit, which grows when the pre-edge region is contaminated by scattering, harmonic content, or amplifier nonlinearity. R-SNR uses the dimensionless ratio edge_step / q3_pre_flatness (both measured in raw mu units so their ratio is unitless) as an edge-to-baseline-noise figure of merit, directly analogous to the edge-jump filter threshold EJFT used in TXM-Wizard's manual (EJFT = 8 in worked examples).</w:t>
      </w:r>
    </w:p>
    <w:p>
      <w:r>
        <w:t>R-NOISE-HF. Random shot noise in a transmission measurement produces high-frequency, uncorrelated fluctuations superimposed on the smoothly varying atomic and structural absorption. We isolate that noise by taking the second finite difference of the flattened spectrum in the EXAFS region (E &gt;= E0 + 150 eV), which suppresses linear and quadratic drift and passes noise. The RMS of the resulting series is used as a per-cell noise proxy. Xraylarch's estimate_noise routine [2] performs an analogous computation designed for chi(R) analysis but is not directly applicable to our raw normalized data.</w:t>
      </w:r>
    </w:p>
    <w:p>
      <w:r>
        <w:t>R-GLITCH. Bragg glitches from the monochromator's Si(111) crystal, top-up injection transients on the storage ring, and individual bad pixels all manifest as isolated points that deviate strongly from their neighbours in the derivative. We use the same first-difference stream underlying R-NOISE-HF but count the number of points exceeding 5 x MAD, rather than summing their energy. An absolute threshold max_count = 5 ensures that a cell with even a few genuine glitches fails regardless of the grid-wide statistics, since a single misplaced point in the near-edge region can invalidate white-line amplitude estimates.</w:t>
      </w:r>
    </w:p>
    <w:p>
      <w:r>
        <w:t>R-EDGE-FWHM. The full-width at half-maximum of the first derivative dmu/dE at the absorption edge is a convolution of the Ni 1s core-hole lifetime broadening (approximately 1.4 eV FWHM), the monochromator's energy resolution (~1 eV FWHM at 8 keV for Si(111)), and any additional broadening from unresolved chemical-state distributions or sample inhomogeneity within the beam footprint. Gaur et al. [6] use an absolute FWHM window of [0.5, 2.0] eV as a resolution acceptance criterion for XAS database inclusion. For a spatial map at a single beamline, the resolution component is constant across cells, so we use a grid-relative two-sided MAD z-score instead: broadening flags real inhomogeneity, narrowing flags white-line loss or E0 mis-identification.</w:t>
      </w:r>
    </w:p>
    <w:p>
      <w:r>
        <w:t>R-NORM-COEFS. The larch pre_edge routine returns three coefficients describing the post-edge polynomial fit -- the constant norm_c0 (which sets the normalization scale), the linear norm_c1, and the quadratic norm_c2 -- together with the pre-edge line slope pre_slope. For a spatially uniform beam and detector, these should form a tight distribution across the 121 cells. Anomalies in any of the three signal scattering, harmonic contamination, saturation, or a misplaced pre/post-edge window. We take the single worst |z| among the three as the rule's value, with the reason string identifying which coefficient triggered.</w:t>
      </w:r>
    </w:p>
    <w:p>
      <w:pPr>
        <w:pStyle w:val="Heading3"/>
      </w:pPr>
      <w:r>
        <w:t>4.5 Consistency rules</w:t>
      </w:r>
    </w:p>
    <w:p>
      <w:r>
        <w:t>C-SHAPE quantifies overall spectral shape agreement using the R-factor of Ravel and Newville [9] as originally defined for ATHENA / ARTEMIS quantitative fit quality assessment. Cells passing GATE-EDGE and CAL-EREF have their corrected norm interpolated onto the common grid [E0_med - 30, E0_med + 150] eV at 0.30 eV step. The pointwise median across all interpolated cells forms the reference n_med, and each cell's residual is:</w:t>
      </w:r>
    </w:p>
    <w:p>
      <m:oMathPara>
        <m:oMath>
          <m:sSub>
            <m:e>
              <m:r>
                <m:rPr>
                  <m:sty m:val="i"/>
                </m:rPr>
                <m:t xml:space="preserve">R</m:t>
              </m:r>
            </m:e>
            <m:sub>
              <m:r>
                <m:t xml:space="preserve">k</m:t>
              </m:r>
            </m:sub>
          </m:sSub>
          <m:r>
            <m:t xml:space="preserve"> = </m:t>
          </m:r>
          <m:f>
            <m:num>
              <m:nary>
                <m:naryPr>
                  <m:chr m:val="∑"/>
                </m:naryPr>
                <m:sub>
                  <m:r>
                    <m:t xml:space="preserve">i</m:t>
                  </m:r>
                </m:sub>
                <m:sup>
                  <m:r>
                    <m:t xml:space="preserve">N</m:t>
                  </m:r>
                </m:sup>
                <m:e>
                  <m:sSup>
                    <m:e>
                      <m:r>
                        <m:t xml:space="preserve">(</m:t>
                      </m:r>
                    </m:e>
                    <m:sup>
                      <m:r>
                        <m:t xml:space="preserve"/>
                      </m:r>
                    </m:sup>
                  </m:sSup>
                  <m:sSub>
                    <m:e>
                      <m:r>
                        <m:t xml:space="preserve">n</m:t>
                      </m:r>
                    </m:e>
                    <m:sub>
                      <m:r>
                        <m:t xml:space="preserve">k,i</m:t>
                      </m:r>
                    </m:sub>
                  </m:sSub>
                  <m:r>
                    <m:t xml:space="preserve"> − </m:t>
                  </m:r>
                  <m:sSub>
                    <m:e>
                      <m:r>
                        <m:t xml:space="preserve">n</m:t>
                      </m:r>
                    </m:e>
                    <m:sub>
                      <m:r>
                        <m:t xml:space="preserve">med,i</m:t>
                      </m:r>
                    </m:sub>
                  </m:sSub>
                  <m:sSup>
                    <m:e>
                      <m:r>
                        <m:t xml:space="preserve">)</m:t>
                      </m:r>
                    </m:e>
                    <m:sup>
                      <m:r>
                        <m:t xml:space="preserve">2</m:t>
                      </m:r>
                    </m:sup>
                  </m:sSup>
                </m:e>
              </m:nary>
            </m:num>
            <m:den>
              <m:nary>
                <m:naryPr>
                  <m:chr m:val="∑"/>
                </m:naryPr>
                <m:sub>
                  <m:r>
                    <m:t xml:space="preserve">i</m:t>
                  </m:r>
                </m:sub>
                <m:sup>
                  <m:r>
                    <m:t xml:space="preserve">N</m:t>
                  </m:r>
                </m:sup>
                <m:e>
                  <m:sSup>
                    <m:e>
                      <m:sSub>
                        <m:e>
                          <m:r>
                            <m:t xml:space="preserve">n</m:t>
                          </m:r>
                        </m:e>
                        <m:sub>
                          <m:r>
                            <m:t xml:space="preserve">med,i</m:t>
                          </m:r>
                        </m:sub>
                      </m:sSub>
                    </m:e>
                    <m:sup>
                      <m:r>
                        <m:t xml:space="preserve">2</m:t>
                      </m:r>
                    </m:sup>
                  </m:sSup>
                </m:e>
              </m:nary>
            </m:den>
          </m:f>
        </m:oMath>
      </m:oMathPara>
    </w:p>
    <w:p>
      <w:r>
        <w:t>One-sided upper MAD z applied to R_k identifies outlier shapes.</w:t>
      </w:r>
    </w:p>
    <w:p>
      <w:r>
        <w:t>C-CUMDIFF implements Lippold et al.'s [5] criterion 7 with the reference redefined as the mean of the eight spatial neighbours rather than a scan-wise leave-one-out average. Lippold et al. compared eight statistical criteria for detecting systematic deviations in repeated BioXAS scans and found that the standard deviation of the residual of the cumulative-difference spectrum after a linear-regression detrend was the most reliable single figure of merit. Given corrected spectra spec and reference ref on the same grid:</w:t>
      </w:r>
    </w:p>
    <w:p>
      <m:oMathPara>
        <m:oMath>
          <m:r>
            <m:t xml:space="preserve">D(</m:t>
          </m:r>
          <m:r>
            <m:t xml:space="preserve">i</m:t>
          </m:r>
          <m:r>
            <m:t xml:space="preserve">) = </m:t>
          </m:r>
          <m:r>
            <m:t xml:space="preserve">spec(</m:t>
          </m:r>
          <m:r>
            <m:t xml:space="preserve">i</m:t>
          </m:r>
          <m:r>
            <m:t xml:space="preserve">) − ref(</m:t>
          </m:r>
          <m:r>
            <m:t xml:space="preserve">i</m:t>
          </m:r>
          <m:r>
            <m:t xml:space="preserve">)</m:t>
          </m:r>
        </m:oMath>
      </m:oMathPara>
    </w:p>
    <w:p>
      <m:oMathPara>
        <m:oMath>
          <m:r>
            <m:t xml:space="preserve">A(</m:t>
          </m:r>
          <m:r>
            <m:t xml:space="preserve">j</m:t>
          </m:r>
          <m:r>
            <m:t xml:space="preserve">) = </m:t>
          </m:r>
          <m:nary>
            <m:naryPr>
              <m:chr m:val="∑"/>
            </m:naryPr>
            <m:sub>
              <m:r>
                <m:t xml:space="preserve">i = 1</m:t>
              </m:r>
            </m:sub>
            <m:sup>
              <m:r>
                <m:t xml:space="preserve">j</m:t>
              </m:r>
            </m:sup>
            <m:e>
              <m:r>
                <m:t xml:space="preserve">D(</m:t>
              </m:r>
              <m:r>
                <m:t xml:space="preserve">i</m:t>
              </m:r>
              <m:r>
                <m:t xml:space="preserve">)</m:t>
              </m:r>
            </m:e>
          </m:nary>
        </m:oMath>
      </m:oMathPara>
    </w:p>
    <w:p>
      <w:r>
        <w:t>Criterion 7 is the standard deviation of A(j) after a linear-regression detrend. Cumulative summation amplifies four archetypal systematic deviations (group offsets, jump discontinuities, slope changes, periodic bending) while attenuating random noise; this amplification factor is empirically two to three orders of magnitude for the artefacts illustrated in Lippold et al. [5], Table 1. Cells with fewer than two valid spatial neighbours on the common grid return N/A. The Lippold paper's absolute stopping threshold (0.1) is system-specific and is not applied here; a grid-relative MAD z-score is used instead.</w:t>
      </w:r>
    </w:p>
    <w:p>
      <w:r>
        <w:t>C-E0-NBR compares each cell's corrected E0 against the median of its up to eight spatial neighbours' corrected E0s, applying a two-sided robust z-score. This is spatially local rather than grid-global because gradual electrochemical gradients across the sample are expected and should not produce failures; only cells that step out from their immediate spatial context are flagged. The concept is closest to the edge-energy grouping proposed by Liu et al. [3] in the TXM-Wizard context, though we use a neighbour-median comparison rather than a global cluster label. Because a hit here can indicate genuine chemistry (different oxidation state at that spot), only the consistent flag is affected -- usability is preserved.</w:t>
      </w:r>
    </w:p>
    <w:p>
      <w:pPr>
        <w:pStyle w:val="Heading3"/>
      </w:pPr>
      <w:r>
        <w:t>4.6 Threshold calibration</w:t>
      </w:r>
    </w:p>
    <w:p>
      <w:r>
        <w:t>GATE-EDGE bounds and rule z-thresholds were calibrated against the actual 121-cell distributions observed on the current dataset rather than adopted from bulk-spectrum literature.</w:t>
      </w:r>
    </w:p>
    <w:p>
      <w:r>
        <w:t>The edge_step distribution is bimodal: 6 cells cluster at [0.043, 0.062] (off-sample / near-void pixels), a natural gap sits at [0.099, 0.131] with only 2 cells, and the remaining 110 real cells populate [0.13, 0.93]. The chosen lower bound 0.10 sits in the gap; 90.9% of cells pass. All 11 failures lie on the sample's geometric left edge (X10_-5 column) or corners, consistent with the intended semantics of GATE-EDGE. The Gaur et al. [6] recommendation of [0.5, 2.0] would reject 102 of 121 cells and is therefore inappropriate for spatial mapping in which off-sample pixels are structurally present. The upper bound 1.5 sits well above the observed maximum of 0.93 but leaves headroom for thicker future samples before the thickness-effect regime [8].</w:t>
      </w:r>
    </w:p>
    <w:p>
      <w:r>
        <w:t>For R-EDGE-FWHM and R-NORM-COEFS the 110 gate-pass values are near-Gaussian (percentile ratio P50(|z|)/max ~ 0.67, matching the theoretical N(0,1) MAD/max ratio 0.6745). The old defaults warn_z = 3, fail_z = 5 correspond to 3-sigma and 5-sigma respectively; on n = 110 the 5-sigma level triggers essentially never (theoretical rate 6e-7 per cell, i.e. one occurrence per ~1.7 million cells for a purely Gaussian distribution). We therefore adopted warn_z = 2.5 (Leys et al. [7] default) and fail_z = 4 (clear outlier line for a near-Gaussian, corresponding to a Gaussian tail probability of ~6e-5). Under the new thresholds R-EDGE-FWHM flags 3 WARN 0 FAIL and R-NORM-COEFS flags 2 WARN 0 FAIL on the current data, while any future outlier at |z| &gt;= 4 will be caught immediately.</w:t>
      </w:r>
    </w:p>
    <w:p>
      <w:pPr>
        <w:pStyle w:val="Heading2"/>
      </w:pPr>
      <w:r>
        <w:t>5. Implementation</w:t>
      </w:r>
    </w:p>
    <w:p>
      <w:pPr>
        <w:pStyle w:val="Heading3"/>
      </w:pPr>
      <w:r>
        <w:t>5.1 Software architecture</w:t>
      </w:r>
    </w:p>
    <w:p>
      <w:r>
        <w:t>The system is implemented in Python 3.11+, with xraylarch 2026.3.1 for pre_edge and numpy for numerical operations. Persistence uses a file-based cache (.npz and .json under data/, .png under image/) that maps one-to-one onto a planned MySQL schema with tables for sections, per-cell spectra, per-cell quality metrics, per-rule results, and per-run manifests. Database wiring is deferred until the schema is finalised; the file cache is authoritative in the interim.</w:t>
      </w:r>
    </w:p>
    <w:p>
      <w:r>
        <w:t>The rule registry uses a decorator pattern. Each rule function receives a Context object (grid statistics, corrected shifts, interpolated spectra), the target Cell, and the parameter block from config.yaml, and returns a RuleResult. Adding a new rule requires only a decorated function plus an entry in config.yaml; the topological executor picks it up automatically.</w:t>
      </w:r>
    </w:p>
    <w:p>
      <w:pPr>
        <w:pStyle w:val="Heading3"/>
      </w:pPr>
      <w:r>
        <w:t>5.2 Cache layout</w:t>
      </w:r>
    </w:p>
    <w:p>
      <w:r>
        <w:rPr>
          <w:rFonts w:ascii="Consolas" w:hAnsi="Consolas"/>
          <w:sz w:val="18"/>
        </w:rPr>
        <w:t>data/</w:t>
        <w:br/>
        <w:t xml:space="preserve">  examine_run.json                run manifest</w:t>
        <w:br/>
        <w:t xml:space="preserve">  Z0_-5/</w:t>
        <w:br/>
        <w:t xml:space="preserve">    X0_5_1_120.npz                arrays (float32)</w:t>
        <w:br/>
        <w:t xml:space="preserve">    X0_5_1_120.json               pipeline metrics</w:t>
        <w:br/>
        <w:t xml:space="preserve">    X0_5_1_120.examine.json       rule verdict</w:t>
        <w:br/>
        <w:t xml:space="preserve">    ...</w:t>
        <w:br/>
        <w:t>image/</w:t>
        <w:br/>
        <w:t xml:space="preserve">  Z0_-5/</w:t>
        <w:br/>
        <w:t xml:space="preserve">    X0_5_1_120_preedge.png</w:t>
        <w:br/>
        <w:t xml:space="preserve">    X0_5_1_120_norm.png</w:t>
      </w:r>
    </w:p>
    <w:p>
      <w:pPr>
        <w:pStyle w:val="Heading3"/>
      </w:pPr>
      <w:r>
        <w:t>5.3 Reproducibility</w:t>
      </w:r>
    </w:p>
    <w:p>
      <w:r>
        <w:t>The run manifest records a SHA-256 canonical hash of the full config.yaml used to produce that run, together with a UUID run_id, computed_at timestamp (UTC ISO-8601), pipeline version, combine mode, and full baseline statistics. Two runs with identical config hashes are guaranteed to produce identical verdicts on the same cache.</w:t>
      </w:r>
    </w:p>
    <w:p>
      <w:pPr>
        <w:pStyle w:val="Heading2"/>
      </w:pPr>
      <w:r>
        <w:t>6. Results on the NiXZ-121 grid</w:t>
      </w:r>
    </w:p>
    <w:p>
      <w:r>
        <w:t>The current 121-cell run (run 987973d5, 2026-09-28) reports: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Level</w:t>
            </w:r>
          </w:p>
        </w:tc>
        <w:tc>
          <w:tcPr>
            <w:tcW w:type="dxa" w:w="3135"/>
          </w:tcPr>
          <w:p>
            <w:r>
              <w:rPr>
                <w:b/>
                <w:sz w:val="20"/>
              </w:rPr>
              <w:t>smooth (n = 121)</w:t>
            </w:r>
          </w:p>
        </w:tc>
        <w:tc>
          <w:tcPr>
            <w:tcW w:type="dxa" w:w="3135"/>
          </w:tcPr>
          <w:p>
            <w:r>
              <w:rPr>
                <w:b/>
                <w:sz w:val="20"/>
              </w:rPr>
              <w:t>consistent (n = 121)</w:t>
            </w:r>
          </w:p>
        </w:tc>
      </w:tr>
      <w:tr>
        <w:tc>
          <w:tcPr>
            <w:tcW w:type="dxa" w:w="3135"/>
          </w:tcPr>
          <w:p>
            <w:r>
              <w:rPr>
                <w:sz w:val="18"/>
              </w:rPr>
              <w:t>PASS</w:t>
            </w:r>
          </w:p>
        </w:tc>
        <w:tc>
          <w:tcPr>
            <w:tcW w:type="dxa" w:w="3135"/>
          </w:tcPr>
          <w:p>
            <w:r>
              <w:rPr>
                <w:sz w:val="18"/>
              </w:rPr>
              <w:t>69</w:t>
            </w:r>
          </w:p>
        </w:tc>
        <w:tc>
          <w:tcPr>
            <w:tcW w:type="dxa" w:w="3135"/>
          </w:tcPr>
          <w:p>
            <w:r>
              <w:rPr>
                <w:sz w:val="18"/>
              </w:rPr>
              <w:t>48</w:t>
            </w:r>
          </w:p>
        </w:tc>
      </w:tr>
      <w:tr>
        <w:tc>
          <w:tcPr>
            <w:tcW w:type="dxa" w:w="3135"/>
          </w:tcPr>
          <w:p>
            <w:r>
              <w:rPr>
                <w:sz w:val="18"/>
              </w:rPr>
              <w:t>WARN</w:t>
            </w:r>
          </w:p>
        </w:tc>
        <w:tc>
          <w:tcPr>
            <w:tcW w:type="dxa" w:w="3135"/>
          </w:tcPr>
          <w:p>
            <w:r>
              <w:rPr>
                <w:sz w:val="18"/>
              </w:rPr>
              <w:t>7</w:t>
            </w:r>
          </w:p>
        </w:tc>
        <w:tc>
          <w:tcPr>
            <w:tcW w:type="dxa" w:w="3135"/>
          </w:tcPr>
          <w:p>
            <w:r>
              <w:rPr>
                <w:sz w:val="18"/>
              </w:rPr>
              <w:t>1</w:t>
            </w:r>
          </w:p>
        </w:tc>
      </w:tr>
      <w:tr>
        <w:tc>
          <w:tcPr>
            <w:tcW w:type="dxa" w:w="3135"/>
          </w:tcPr>
          <w:p>
            <w:r>
              <w:rPr>
                <w:sz w:val="18"/>
              </w:rPr>
              <w:t>FAIL</w:t>
            </w:r>
          </w:p>
        </w:tc>
        <w:tc>
          <w:tcPr>
            <w:tcW w:type="dxa" w:w="3135"/>
          </w:tcPr>
          <w:p>
            <w:r>
              <w:rPr>
                <w:sz w:val="18"/>
              </w:rPr>
              <w:t>34</w:t>
            </w:r>
          </w:p>
        </w:tc>
        <w:tc>
          <w:tcPr>
            <w:tcW w:type="dxa" w:w="3135"/>
          </w:tcPr>
          <w:p>
            <w:r>
              <w:rPr>
                <w:sz w:val="18"/>
              </w:rPr>
              <w:t>61</w:t>
            </w:r>
          </w:p>
        </w:tc>
      </w:tr>
      <w:tr>
        <w:tc>
          <w:tcPr>
            <w:tcW w:type="dxa" w:w="3135"/>
          </w:tcPr>
          <w:p>
            <w:r>
              <w:rPr>
                <w:sz w:val="18"/>
              </w:rPr>
              <w:t>N/A</w:t>
            </w:r>
          </w:p>
        </w:tc>
        <w:tc>
          <w:tcPr>
            <w:tcW w:type="dxa" w:w="3135"/>
          </w:tcPr>
          <w:p>
            <w:r>
              <w:rPr>
                <w:sz w:val="18"/>
              </w:rPr>
              <w:t>11</w:t>
            </w:r>
          </w:p>
        </w:tc>
        <w:tc>
          <w:tcPr>
            <w:tcW w:type="dxa" w:w="3135"/>
          </w:tcPr>
          <w:p>
            <w:r>
              <w:rPr>
                <w:sz w:val="18"/>
              </w:rPr>
              <w:t>11</w:t>
            </w:r>
          </w:p>
        </w:tc>
      </w:tr>
    </w:tbl>
    <w:p>
      <w:r>
        <w:t>76 of 121 cells (62.8%) are marked usable. Per-rule tallies are:</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t>Rule</w:t>
            </w:r>
          </w:p>
        </w:tc>
        <w:tc>
          <w:tcPr>
            <w:tcW w:type="dxa" w:w="1881"/>
          </w:tcPr>
          <w:p>
            <w:r>
              <w:rPr>
                <w:b/>
                <w:sz w:val="20"/>
              </w:rPr>
              <w:t>PASS</w:t>
            </w:r>
          </w:p>
        </w:tc>
        <w:tc>
          <w:tcPr>
            <w:tcW w:type="dxa" w:w="1881"/>
          </w:tcPr>
          <w:p>
            <w:r>
              <w:rPr>
                <w:b/>
                <w:sz w:val="20"/>
              </w:rPr>
              <w:t>WARN</w:t>
            </w:r>
          </w:p>
        </w:tc>
        <w:tc>
          <w:tcPr>
            <w:tcW w:type="dxa" w:w="1881"/>
          </w:tcPr>
          <w:p>
            <w:r>
              <w:rPr>
                <w:b/>
                <w:sz w:val="20"/>
              </w:rPr>
              <w:t>FAIL</w:t>
            </w:r>
          </w:p>
        </w:tc>
        <w:tc>
          <w:tcPr>
            <w:tcW w:type="dxa" w:w="1881"/>
          </w:tcPr>
          <w:p>
            <w:r>
              <w:rPr>
                <w:b/>
                <w:sz w:val="20"/>
              </w:rPr>
              <w:t>N/A</w:t>
            </w:r>
          </w:p>
        </w:tc>
      </w:tr>
      <w:tr>
        <w:tc>
          <w:tcPr>
            <w:tcW w:type="dxa" w:w="1881"/>
          </w:tcPr>
          <w:p>
            <w:r>
              <w:rPr>
                <w:sz w:val="18"/>
              </w:rPr>
              <w:t>GATE-EDGE</w:t>
            </w:r>
          </w:p>
        </w:tc>
        <w:tc>
          <w:tcPr>
            <w:tcW w:type="dxa" w:w="1881"/>
          </w:tcPr>
          <w:p>
            <w:r>
              <w:rPr>
                <w:sz w:val="18"/>
              </w:rPr>
              <w:t>110</w:t>
            </w:r>
          </w:p>
        </w:tc>
        <w:tc>
          <w:tcPr>
            <w:tcW w:type="dxa" w:w="1881"/>
          </w:tcPr>
          <w:p>
            <w:r>
              <w:rPr>
                <w:sz w:val="18"/>
              </w:rPr>
              <w:t>0</w:t>
            </w:r>
          </w:p>
        </w:tc>
        <w:tc>
          <w:tcPr>
            <w:tcW w:type="dxa" w:w="1881"/>
          </w:tcPr>
          <w:p>
            <w:r>
              <w:rPr>
                <w:sz w:val="18"/>
              </w:rPr>
              <w:t>11</w:t>
            </w:r>
          </w:p>
        </w:tc>
        <w:tc>
          <w:tcPr>
            <w:tcW w:type="dxa" w:w="1881"/>
          </w:tcPr>
          <w:p>
            <w:r>
              <w:rPr>
                <w:sz w:val="18"/>
              </w:rPr>
              <w:t>0</w:t>
            </w:r>
          </w:p>
        </w:tc>
      </w:tr>
      <w:tr>
        <w:tc>
          <w:tcPr>
            <w:tcW w:type="dxa" w:w="1881"/>
          </w:tcPr>
          <w:p>
            <w:r>
              <w:rPr>
                <w:sz w:val="18"/>
              </w:rPr>
              <w:t>CAL-EREF</w:t>
            </w:r>
          </w:p>
        </w:tc>
        <w:tc>
          <w:tcPr>
            <w:tcW w:type="dxa" w:w="1881"/>
          </w:tcPr>
          <w:p>
            <w:r>
              <w:rPr>
                <w:sz w:val="18"/>
              </w:rPr>
              <w:t>44</w:t>
            </w:r>
          </w:p>
        </w:tc>
        <w:tc>
          <w:tcPr>
            <w:tcW w:type="dxa" w:w="1881"/>
          </w:tcPr>
          <w:p>
            <w:r>
              <w:rPr>
                <w:sz w:val="18"/>
              </w:rPr>
              <w:t>77</w:t>
            </w:r>
          </w:p>
        </w:tc>
        <w:tc>
          <w:tcPr>
            <w:tcW w:type="dxa" w:w="1881"/>
          </w:tcPr>
          <w:p>
            <w:r>
              <w:rPr>
                <w:sz w:val="18"/>
              </w:rPr>
              <w:t>0</w:t>
            </w:r>
          </w:p>
        </w:tc>
        <w:tc>
          <w:tcPr>
            <w:tcW w:type="dxa" w:w="1881"/>
          </w:tcPr>
          <w:p>
            <w:r>
              <w:rPr>
                <w:sz w:val="18"/>
              </w:rPr>
              <w:t>0</w:t>
            </w:r>
          </w:p>
        </w:tc>
      </w:tr>
      <w:tr>
        <w:tc>
          <w:tcPr>
            <w:tcW w:type="dxa" w:w="1881"/>
          </w:tcPr>
          <w:p>
            <w:r>
              <w:rPr>
                <w:sz w:val="18"/>
              </w:rPr>
              <w:t>R-SNR</w:t>
            </w:r>
          </w:p>
        </w:tc>
        <w:tc>
          <w:tcPr>
            <w:tcW w:type="dxa" w:w="1881"/>
          </w:tcPr>
          <w:p>
            <w:r>
              <w:rPr>
                <w:sz w:val="18"/>
              </w:rPr>
              <w:t>110</w:t>
            </w:r>
          </w:p>
        </w:tc>
        <w:tc>
          <w:tcPr>
            <w:tcW w:type="dxa" w:w="1881"/>
          </w:tcPr>
          <w:p>
            <w:r>
              <w:rPr>
                <w:sz w:val="18"/>
              </w:rPr>
              <w:t>0</w:t>
            </w:r>
          </w:p>
        </w:tc>
        <w:tc>
          <w:tcPr>
            <w:tcW w:type="dxa" w:w="1881"/>
          </w:tcPr>
          <w:p>
            <w:r>
              <w:rPr>
                <w:sz w:val="18"/>
              </w:rPr>
              <w:t>0</w:t>
            </w:r>
          </w:p>
        </w:tc>
        <w:tc>
          <w:tcPr>
            <w:tcW w:type="dxa" w:w="1881"/>
          </w:tcPr>
          <w:p>
            <w:r>
              <w:rPr>
                <w:sz w:val="18"/>
              </w:rPr>
              <w:t>11</w:t>
            </w:r>
          </w:p>
        </w:tc>
      </w:tr>
      <w:tr>
        <w:tc>
          <w:tcPr>
            <w:tcW w:type="dxa" w:w="1881"/>
          </w:tcPr>
          <w:p>
            <w:r>
              <w:rPr>
                <w:sz w:val="18"/>
              </w:rPr>
              <w:t>R-NOISE-HF</w:t>
            </w:r>
          </w:p>
        </w:tc>
        <w:tc>
          <w:tcPr>
            <w:tcW w:type="dxa" w:w="1881"/>
          </w:tcPr>
          <w:p>
            <w:r>
              <w:rPr>
                <w:sz w:val="18"/>
              </w:rPr>
              <w:t>104</w:t>
            </w:r>
          </w:p>
        </w:tc>
        <w:tc>
          <w:tcPr>
            <w:tcW w:type="dxa" w:w="1881"/>
          </w:tcPr>
          <w:p>
            <w:r>
              <w:rPr>
                <w:sz w:val="18"/>
              </w:rPr>
              <w:t>4</w:t>
            </w:r>
          </w:p>
        </w:tc>
        <w:tc>
          <w:tcPr>
            <w:tcW w:type="dxa" w:w="1881"/>
          </w:tcPr>
          <w:p>
            <w:r>
              <w:rPr>
                <w:sz w:val="18"/>
              </w:rPr>
              <w:t>2</w:t>
            </w:r>
          </w:p>
        </w:tc>
        <w:tc>
          <w:tcPr>
            <w:tcW w:type="dxa" w:w="1881"/>
          </w:tcPr>
          <w:p>
            <w:r>
              <w:rPr>
                <w:sz w:val="18"/>
              </w:rPr>
              <w:t>11</w:t>
            </w:r>
          </w:p>
        </w:tc>
      </w:tr>
      <w:tr>
        <w:tc>
          <w:tcPr>
            <w:tcW w:type="dxa" w:w="1881"/>
          </w:tcPr>
          <w:p>
            <w:r>
              <w:rPr>
                <w:sz w:val="18"/>
              </w:rPr>
              <w:t>R-PRE-FLAT</w:t>
            </w:r>
          </w:p>
        </w:tc>
        <w:tc>
          <w:tcPr>
            <w:tcW w:type="dxa" w:w="1881"/>
          </w:tcPr>
          <w:p>
            <w:r>
              <w:rPr>
                <w:sz w:val="18"/>
              </w:rPr>
              <w:t>108</w:t>
            </w:r>
          </w:p>
        </w:tc>
        <w:tc>
          <w:tcPr>
            <w:tcW w:type="dxa" w:w="1881"/>
          </w:tcPr>
          <w:p>
            <w:r>
              <w:rPr>
                <w:sz w:val="18"/>
              </w:rPr>
              <w:t>2</w:t>
            </w:r>
          </w:p>
        </w:tc>
        <w:tc>
          <w:tcPr>
            <w:tcW w:type="dxa" w:w="1881"/>
          </w:tcPr>
          <w:p>
            <w:r>
              <w:rPr>
                <w:sz w:val="18"/>
              </w:rPr>
              <w:t>0</w:t>
            </w:r>
          </w:p>
        </w:tc>
        <w:tc>
          <w:tcPr>
            <w:tcW w:type="dxa" w:w="1881"/>
          </w:tcPr>
          <w:p>
            <w:r>
              <w:rPr>
                <w:sz w:val="18"/>
              </w:rPr>
              <w:t>11</w:t>
            </w:r>
          </w:p>
        </w:tc>
      </w:tr>
      <w:tr>
        <w:tc>
          <w:tcPr>
            <w:tcW w:type="dxa" w:w="1881"/>
          </w:tcPr>
          <w:p>
            <w:r>
              <w:rPr>
                <w:sz w:val="18"/>
              </w:rPr>
              <w:t>R-GLITCH</w:t>
            </w:r>
          </w:p>
        </w:tc>
        <w:tc>
          <w:tcPr>
            <w:tcW w:type="dxa" w:w="1881"/>
          </w:tcPr>
          <w:p>
            <w:r>
              <w:rPr>
                <w:sz w:val="18"/>
              </w:rPr>
              <w:t>78</w:t>
            </w:r>
          </w:p>
        </w:tc>
        <w:tc>
          <w:tcPr>
            <w:tcW w:type="dxa" w:w="1881"/>
          </w:tcPr>
          <w:p>
            <w:r>
              <w:rPr>
                <w:sz w:val="18"/>
              </w:rPr>
              <w:t>0</w:t>
            </w:r>
          </w:p>
        </w:tc>
        <w:tc>
          <w:tcPr>
            <w:tcW w:type="dxa" w:w="1881"/>
          </w:tcPr>
          <w:p>
            <w:r>
              <w:rPr>
                <w:sz w:val="18"/>
              </w:rPr>
              <w:t>32</w:t>
            </w:r>
          </w:p>
        </w:tc>
        <w:tc>
          <w:tcPr>
            <w:tcW w:type="dxa" w:w="1881"/>
          </w:tcPr>
          <w:p>
            <w:r>
              <w:rPr>
                <w:sz w:val="18"/>
              </w:rPr>
              <w:t>11</w:t>
            </w:r>
          </w:p>
        </w:tc>
      </w:tr>
      <w:tr>
        <w:tc>
          <w:tcPr>
            <w:tcW w:type="dxa" w:w="1881"/>
          </w:tcPr>
          <w:p>
            <w:r>
              <w:rPr>
                <w:sz w:val="18"/>
              </w:rPr>
              <w:t>R-EDGE-FWHM</w:t>
            </w:r>
          </w:p>
        </w:tc>
        <w:tc>
          <w:tcPr>
            <w:tcW w:type="dxa" w:w="1881"/>
          </w:tcPr>
          <w:p>
            <w:r>
              <w:rPr>
                <w:sz w:val="18"/>
              </w:rPr>
              <w:t>107</w:t>
            </w:r>
          </w:p>
        </w:tc>
        <w:tc>
          <w:tcPr>
            <w:tcW w:type="dxa" w:w="1881"/>
          </w:tcPr>
          <w:p>
            <w:r>
              <w:rPr>
                <w:sz w:val="18"/>
              </w:rPr>
              <w:t>3</w:t>
            </w:r>
          </w:p>
        </w:tc>
        <w:tc>
          <w:tcPr>
            <w:tcW w:type="dxa" w:w="1881"/>
          </w:tcPr>
          <w:p>
            <w:r>
              <w:rPr>
                <w:sz w:val="18"/>
              </w:rPr>
              <w:t>0</w:t>
            </w:r>
          </w:p>
        </w:tc>
        <w:tc>
          <w:tcPr>
            <w:tcW w:type="dxa" w:w="1881"/>
          </w:tcPr>
          <w:p>
            <w:r>
              <w:rPr>
                <w:sz w:val="18"/>
              </w:rPr>
              <w:t>11</w:t>
            </w:r>
          </w:p>
        </w:tc>
      </w:tr>
      <w:tr>
        <w:tc>
          <w:tcPr>
            <w:tcW w:type="dxa" w:w="1881"/>
          </w:tcPr>
          <w:p>
            <w:r>
              <w:rPr>
                <w:sz w:val="18"/>
              </w:rPr>
              <w:t>R-NORM-COEFS</w:t>
            </w:r>
          </w:p>
        </w:tc>
        <w:tc>
          <w:tcPr>
            <w:tcW w:type="dxa" w:w="1881"/>
          </w:tcPr>
          <w:p>
            <w:r>
              <w:rPr>
                <w:sz w:val="18"/>
              </w:rPr>
              <w:t>108</w:t>
            </w:r>
          </w:p>
        </w:tc>
        <w:tc>
          <w:tcPr>
            <w:tcW w:type="dxa" w:w="1881"/>
          </w:tcPr>
          <w:p>
            <w:r>
              <w:rPr>
                <w:sz w:val="18"/>
              </w:rPr>
              <w:t>2</w:t>
            </w:r>
          </w:p>
        </w:tc>
        <w:tc>
          <w:tcPr>
            <w:tcW w:type="dxa" w:w="1881"/>
          </w:tcPr>
          <w:p>
            <w:r>
              <w:rPr>
                <w:sz w:val="18"/>
              </w:rPr>
              <w:t>0</w:t>
            </w:r>
          </w:p>
        </w:tc>
        <w:tc>
          <w:tcPr>
            <w:tcW w:type="dxa" w:w="1881"/>
          </w:tcPr>
          <w:p>
            <w:r>
              <w:rPr>
                <w:sz w:val="18"/>
              </w:rPr>
              <w:t>11</w:t>
            </w:r>
          </w:p>
        </w:tc>
      </w:tr>
      <w:tr>
        <w:tc>
          <w:tcPr>
            <w:tcW w:type="dxa" w:w="1881"/>
          </w:tcPr>
          <w:p>
            <w:r>
              <w:rPr>
                <w:sz w:val="18"/>
              </w:rPr>
              <w:t>C-SHAPE</w:t>
            </w:r>
          </w:p>
        </w:tc>
        <w:tc>
          <w:tcPr>
            <w:tcW w:type="dxa" w:w="1881"/>
          </w:tcPr>
          <w:p>
            <w:r>
              <w:rPr>
                <w:sz w:val="18"/>
              </w:rPr>
              <w:t>66</w:t>
            </w:r>
          </w:p>
        </w:tc>
        <w:tc>
          <w:tcPr>
            <w:tcW w:type="dxa" w:w="1881"/>
          </w:tcPr>
          <w:p>
            <w:r>
              <w:rPr>
                <w:sz w:val="18"/>
              </w:rPr>
              <w:t>1</w:t>
            </w:r>
          </w:p>
        </w:tc>
        <w:tc>
          <w:tcPr>
            <w:tcW w:type="dxa" w:w="1881"/>
          </w:tcPr>
          <w:p>
            <w:r>
              <w:rPr>
                <w:sz w:val="18"/>
              </w:rPr>
              <w:t>43</w:t>
            </w:r>
          </w:p>
        </w:tc>
        <w:tc>
          <w:tcPr>
            <w:tcW w:type="dxa" w:w="1881"/>
          </w:tcPr>
          <w:p>
            <w:r>
              <w:rPr>
                <w:sz w:val="18"/>
              </w:rPr>
              <w:t>11</w:t>
            </w:r>
          </w:p>
        </w:tc>
      </w:tr>
      <w:tr>
        <w:tc>
          <w:tcPr>
            <w:tcW w:type="dxa" w:w="1881"/>
          </w:tcPr>
          <w:p>
            <w:r>
              <w:rPr>
                <w:sz w:val="18"/>
              </w:rPr>
              <w:t>C-E0-NBR</w:t>
            </w:r>
          </w:p>
        </w:tc>
        <w:tc>
          <w:tcPr>
            <w:tcW w:type="dxa" w:w="1881"/>
          </w:tcPr>
          <w:p>
            <w:r>
              <w:rPr>
                <w:sz w:val="18"/>
              </w:rPr>
              <w:t>67</w:t>
            </w:r>
          </w:p>
        </w:tc>
        <w:tc>
          <w:tcPr>
            <w:tcW w:type="dxa" w:w="1881"/>
          </w:tcPr>
          <w:p>
            <w:r>
              <w:rPr>
                <w:sz w:val="18"/>
              </w:rPr>
              <w:t>0</w:t>
            </w:r>
          </w:p>
        </w:tc>
        <w:tc>
          <w:tcPr>
            <w:tcW w:type="dxa" w:w="1881"/>
          </w:tcPr>
          <w:p>
            <w:r>
              <w:rPr>
                <w:sz w:val="18"/>
              </w:rPr>
              <w:t>43</w:t>
            </w:r>
          </w:p>
        </w:tc>
        <w:tc>
          <w:tcPr>
            <w:tcW w:type="dxa" w:w="1881"/>
          </w:tcPr>
          <w:p>
            <w:r>
              <w:rPr>
                <w:sz w:val="18"/>
              </w:rPr>
              <w:t>11</w:t>
            </w:r>
          </w:p>
        </w:tc>
      </w:tr>
      <w:tr>
        <w:tc>
          <w:tcPr>
            <w:tcW w:type="dxa" w:w="1881"/>
          </w:tcPr>
          <w:p>
            <w:r>
              <w:rPr>
                <w:sz w:val="18"/>
              </w:rPr>
              <w:t>C-CUMDIFF</w:t>
            </w:r>
          </w:p>
        </w:tc>
        <w:tc>
          <w:tcPr>
            <w:tcW w:type="dxa" w:w="1881"/>
          </w:tcPr>
          <w:p>
            <w:r>
              <w:rPr>
                <w:sz w:val="18"/>
              </w:rPr>
              <w:t>0</w:t>
            </w:r>
          </w:p>
        </w:tc>
        <w:tc>
          <w:tcPr>
            <w:tcW w:type="dxa" w:w="1881"/>
          </w:tcPr>
          <w:p>
            <w:r>
              <w:rPr>
                <w:sz w:val="18"/>
              </w:rPr>
              <w:t>0</w:t>
            </w:r>
          </w:p>
        </w:tc>
        <w:tc>
          <w:tcPr>
            <w:tcW w:type="dxa" w:w="1881"/>
          </w:tcPr>
          <w:p>
            <w:r>
              <w:rPr>
                <w:sz w:val="18"/>
              </w:rPr>
              <w:t>0</w:t>
            </w:r>
          </w:p>
        </w:tc>
        <w:tc>
          <w:tcPr>
            <w:tcW w:type="dxa" w:w="1881"/>
          </w:tcPr>
          <w:p>
            <w:r>
              <w:rPr>
                <w:sz w:val="18"/>
              </w:rPr>
              <w:t>121</w:t>
            </w:r>
          </w:p>
        </w:tc>
      </w:tr>
    </w:tbl>
    <w:p>
      <w:r>
        <w:t>Consistent failures dominate over smooth failures (61 vs 34), suggesting that most of the current unusability is driven by spatial variation rather than raw measurement noise. CAL-EREF reports 77 L3 WARN cells, indicating a smooth cross-grid drift in mu_ref E0 beyond the initial 0.3 eV L3 tolerance; this warrants inspection of the row-time correlation given the ~2.5-hour acquisition span, and possibly loosening ref_e0_spread_tol_eV. C-CUMDIFF is disabled by default (all 121 N/A); enabling it provides an independent structural-deviation cross-check for cells that pass C-SHAPE but exhibit hidden systematic patterns.</w:t>
      </w:r>
    </w:p>
    <w:p>
      <w:pPr>
        <w:pStyle w:val="Heading2"/>
      </w:pPr>
      <w:r>
        <w:t>7. Conclusions and future work</w:t>
      </w:r>
    </w:p>
    <w:p>
      <w:r>
        <w:t>The two-flag design (smooth versus consistent) proved decisive: it lets an operator distinguish measurement problems from real chemistry without collapsing both into a single usable flag. The MAD-based grid-relative thresholds adapt to whichever beamline resolution and mu_ref calibration the current session happens to have, reducing the need for beamline-specific tuning.</w:t>
      </w:r>
    </w:p>
    <w:p>
      <w:r>
        <w:t>Immediate next steps are: (i) confirm the reference standard is Ni foil so that mu_ref-based absolute calibration is well defined; (ii) implement the per-scan rules T-DRIFT, T-UPDOWN, T-OUTLIER-SCAN, T-SATURATION once the .bin per-scan format is documented; (iii) migrate the file cache into MySQL once the schema is finalised; and (iv) evaluate a weighted combine mode as an alternative to the current worst-of-scoring.</w:t>
      </w:r>
    </w:p>
    <w:p>
      <w:pPr>
        <w:pStyle w:val="Heading2"/>
      </w:pPr>
      <w:r>
        <w:t>References</w:t>
      </w:r>
    </w:p>
    <w:p>
      <w:r>
        <w:t>The following sources ground individual rule choices; verification status column indicates whether the original text was consulted in full for this project.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20"/>
              </w:rPr>
              <w:t>#</w:t>
            </w:r>
          </w:p>
        </w:tc>
        <w:tc>
          <w:tcPr>
            <w:tcW w:type="dxa" w:w="2351"/>
          </w:tcPr>
          <w:p>
            <w:r>
              <w:rPr>
                <w:b/>
                <w:sz w:val="20"/>
              </w:rPr>
              <w:t>Reference</w:t>
            </w:r>
          </w:p>
        </w:tc>
        <w:tc>
          <w:tcPr>
            <w:tcW w:type="dxa" w:w="2351"/>
          </w:tcPr>
          <w:p>
            <w:r>
              <w:rPr>
                <w:b/>
                <w:sz w:val="20"/>
              </w:rPr>
              <w:t>Used for</w:t>
            </w:r>
          </w:p>
        </w:tc>
        <w:tc>
          <w:tcPr>
            <w:tcW w:type="dxa" w:w="2351"/>
          </w:tcPr>
          <w:p>
            <w:r>
              <w:rPr>
                <w:b/>
                <w:sz w:val="20"/>
              </w:rPr>
              <w:t>Verified</w:t>
            </w:r>
          </w:p>
        </w:tc>
      </w:tr>
      <w:tr>
        <w:tc>
          <w:tcPr>
            <w:tcW w:type="dxa" w:w="2351"/>
          </w:tcPr>
          <w:p>
            <w:r>
              <w:rPr>
                <w:sz w:val="18"/>
              </w:rPr>
              <w:t>1</w:t>
            </w:r>
          </w:p>
        </w:tc>
        <w:tc>
          <w:tcPr>
            <w:tcW w:type="dxa" w:w="2351"/>
          </w:tcPr>
          <w:p>
            <w:r>
              <w:rPr>
                <w:sz w:val="18"/>
              </w:rPr>
              <w:t>M. Newville, xraylarch 2026.3.1 documentation section 14.2</w:t>
            </w:r>
          </w:p>
        </w:tc>
        <w:tc>
          <w:tcPr>
            <w:tcW w:type="dxa" w:w="2351"/>
          </w:tcPr>
          <w:p>
            <w:r>
              <w:rPr>
                <w:sz w:val="18"/>
              </w:rPr>
              <w:t>pre_edge algorithm and outputs</w:t>
            </w:r>
          </w:p>
        </w:tc>
        <w:tc>
          <w:tcPr>
            <w:tcW w:type="dxa" w:w="2351"/>
          </w:tcPr>
          <w:p>
            <w:r>
              <w:rPr>
                <w:sz w:val="18"/>
              </w:rPr>
              <w:t>yes</w:t>
            </w:r>
          </w:p>
        </w:tc>
      </w:tr>
      <w:tr>
        <w:tc>
          <w:tcPr>
            <w:tcW w:type="dxa" w:w="2351"/>
          </w:tcPr>
          <w:p>
            <w:r>
              <w:rPr>
                <w:sz w:val="18"/>
              </w:rPr>
              <w:t>2</w:t>
            </w:r>
          </w:p>
        </w:tc>
        <w:tc>
          <w:tcPr>
            <w:tcW w:type="dxa" w:w="2351"/>
          </w:tcPr>
          <w:p>
            <w:r>
              <w:rPr>
                <w:sz w:val="18"/>
              </w:rPr>
              <w:t>M. Newville, xraylarch section 14.1 (estimate_noise)</w:t>
            </w:r>
          </w:p>
        </w:tc>
        <w:tc>
          <w:tcPr>
            <w:tcW w:type="dxa" w:w="2351"/>
          </w:tcPr>
          <w:p>
            <w:r>
              <w:rPr>
                <w:sz w:val="18"/>
              </w:rPr>
              <w:t>confirmed as EXAFS chi(R) tool; not used here</w:t>
            </w:r>
          </w:p>
        </w:tc>
        <w:tc>
          <w:tcPr>
            <w:tcW w:type="dxa" w:w="2351"/>
          </w:tcPr>
          <w:p>
            <w:r>
              <w:rPr>
                <w:sz w:val="18"/>
              </w:rPr>
              <w:t>partially</w:t>
            </w:r>
          </w:p>
        </w:tc>
      </w:tr>
      <w:tr>
        <w:tc>
          <w:tcPr>
            <w:tcW w:type="dxa" w:w="2351"/>
          </w:tcPr>
          <w:p>
            <w:r>
              <w:rPr>
                <w:sz w:val="18"/>
              </w:rPr>
              <w:t>3</w:t>
            </w:r>
          </w:p>
        </w:tc>
        <w:tc>
          <w:tcPr>
            <w:tcW w:type="dxa" w:w="2351"/>
          </w:tcPr>
          <w:p>
            <w:r>
              <w:rPr>
                <w:sz w:val="18"/>
              </w:rPr>
              <w:t>Y. Liu et al., TXM-Wizard, J. Synchrotron Rad. 19, 281 (2012)</w:t>
            </w:r>
          </w:p>
        </w:tc>
        <w:tc>
          <w:tcPr>
            <w:tcW w:type="dxa" w:w="2351"/>
          </w:tcPr>
          <w:p>
            <w:r>
              <w:rPr>
                <w:sz w:val="18"/>
              </w:rPr>
              <w:t>GATE-EDGE lower bound, R-SNR, R-PRE-FLAT, C-E0-NBR concept</w:t>
            </w:r>
          </w:p>
        </w:tc>
        <w:tc>
          <w:tcPr>
            <w:tcW w:type="dxa" w:w="2351"/>
          </w:tcPr>
          <w:p>
            <w:r>
              <w:rPr>
                <w:sz w:val="18"/>
              </w:rPr>
              <w:t>yes</w:t>
            </w:r>
          </w:p>
        </w:tc>
      </w:tr>
      <w:tr>
        <w:tc>
          <w:tcPr>
            <w:tcW w:type="dxa" w:w="2351"/>
          </w:tcPr>
          <w:p>
            <w:r>
              <w:rPr>
                <w:sz w:val="18"/>
              </w:rPr>
              <w:t>4</w:t>
            </w:r>
          </w:p>
        </w:tc>
        <w:tc>
          <w:tcPr>
            <w:tcW w:type="dxa" w:w="2351"/>
          </w:tcPr>
          <w:p>
            <w:r>
              <w:rPr>
                <w:sz w:val="18"/>
              </w:rPr>
              <w:t>T.-C. Weng et al., MBACK, J. Synchrotron Rad. 12, 506 (2005)</w:t>
            </w:r>
          </w:p>
        </w:tc>
        <w:tc>
          <w:tcPr>
            <w:tcW w:type="dxa" w:w="2351"/>
          </w:tcPr>
          <w:p>
            <w:r>
              <w:rPr>
                <w:sz w:val="18"/>
              </w:rPr>
              <w:t>alternative normalization, not adopted</w:t>
            </w:r>
          </w:p>
        </w:tc>
        <w:tc>
          <w:tcPr>
            <w:tcW w:type="dxa" w:w="2351"/>
          </w:tcPr>
          <w:p>
            <w:r>
              <w:rPr>
                <w:sz w:val="18"/>
              </w:rPr>
              <w:t>bibliography only</w:t>
            </w:r>
          </w:p>
        </w:tc>
      </w:tr>
      <w:tr>
        <w:tc>
          <w:tcPr>
            <w:tcW w:type="dxa" w:w="2351"/>
          </w:tcPr>
          <w:p>
            <w:r>
              <w:rPr>
                <w:sz w:val="18"/>
              </w:rPr>
              <w:t>5</w:t>
            </w:r>
          </w:p>
        </w:tc>
        <w:tc>
          <w:tcPr>
            <w:tcW w:type="dxa" w:w="2351"/>
          </w:tcPr>
          <w:p>
            <w:r>
              <w:rPr>
                <w:sz w:val="18"/>
              </w:rPr>
              <w:t>B. Lippold et al., J. Synchrotron Rad. 12, 45 (2005)</w:t>
            </w:r>
          </w:p>
        </w:tc>
        <w:tc>
          <w:tcPr>
            <w:tcW w:type="dxa" w:w="2351"/>
          </w:tcPr>
          <w:p>
            <w:r>
              <w:rPr>
                <w:sz w:val="18"/>
              </w:rPr>
              <w:t>C-CUMDIFF (criterion 7), reserved T-OUTLIER-SCAN family</w:t>
            </w:r>
          </w:p>
        </w:tc>
        <w:tc>
          <w:tcPr>
            <w:tcW w:type="dxa" w:w="2351"/>
          </w:tcPr>
          <w:p>
            <w:r>
              <w:rPr>
                <w:sz w:val="18"/>
              </w:rPr>
              <w:t>yes</w:t>
            </w:r>
          </w:p>
        </w:tc>
      </w:tr>
      <w:tr>
        <w:tc>
          <w:tcPr>
            <w:tcW w:type="dxa" w:w="2351"/>
          </w:tcPr>
          <w:p>
            <w:r>
              <w:rPr>
                <w:sz w:val="18"/>
              </w:rPr>
              <w:t>6</w:t>
            </w:r>
          </w:p>
        </w:tc>
        <w:tc>
          <w:tcPr>
            <w:tcW w:type="dxa" w:w="2351"/>
          </w:tcPr>
          <w:p>
            <w:r>
              <w:rPr>
                <w:sz w:val="18"/>
              </w:rPr>
              <w:t>Gaur et al., Sci. Data (2026)</w:t>
            </w:r>
          </w:p>
        </w:tc>
        <w:tc>
          <w:tcPr>
            <w:tcW w:type="dxa" w:w="2351"/>
          </w:tcPr>
          <w:p>
            <w:r>
              <w:rPr>
                <w:sz w:val="18"/>
              </w:rPr>
              <w:t>GATE-EDGE upper bound, CAL-EREF concept, T-DRIFT motivation</w:t>
            </w:r>
          </w:p>
        </w:tc>
        <w:tc>
          <w:tcPr>
            <w:tcW w:type="dxa" w:w="2351"/>
          </w:tcPr>
          <w:p>
            <w:r>
              <w:rPr>
                <w:sz w:val="18"/>
              </w:rPr>
              <w:t>abstract-level</w:t>
            </w:r>
          </w:p>
        </w:tc>
      </w:tr>
      <w:tr>
        <w:tc>
          <w:tcPr>
            <w:tcW w:type="dxa" w:w="2351"/>
          </w:tcPr>
          <w:p>
            <w:r>
              <w:rPr>
                <w:sz w:val="18"/>
              </w:rPr>
              <w:t>7</w:t>
            </w:r>
          </w:p>
        </w:tc>
        <w:tc>
          <w:tcPr>
            <w:tcW w:type="dxa" w:w="2351"/>
          </w:tcPr>
          <w:p>
            <w:r>
              <w:rPr>
                <w:sz w:val="18"/>
              </w:rPr>
              <w:t>C. Leys et al., J. Exp. Soc. Psychol. 49, 764 (2013)</w:t>
            </w:r>
          </w:p>
        </w:tc>
        <w:tc>
          <w:tcPr>
            <w:tcW w:type="dxa" w:w="2351"/>
          </w:tcPr>
          <w:p>
            <w:r>
              <w:rPr>
                <w:sz w:val="18"/>
              </w:rPr>
              <w:t>MAD-based robust z; warn_z = 2.5 default</w:t>
            </w:r>
          </w:p>
        </w:tc>
        <w:tc>
          <w:tcPr>
            <w:tcW w:type="dxa" w:w="2351"/>
          </w:tcPr>
          <w:p>
            <w:r>
              <w:rPr>
                <w:sz w:val="18"/>
              </w:rPr>
              <w:t>bibliography only</w:t>
            </w:r>
          </w:p>
        </w:tc>
      </w:tr>
      <w:tr>
        <w:tc>
          <w:tcPr>
            <w:tcW w:type="dxa" w:w="2351"/>
          </w:tcPr>
          <w:p>
            <w:r>
              <w:rPr>
                <w:sz w:val="18"/>
              </w:rPr>
              <w:t>8</w:t>
            </w:r>
          </w:p>
        </w:tc>
        <w:tc>
          <w:tcPr>
            <w:tcW w:type="dxa" w:w="2351"/>
          </w:tcPr>
          <w:p>
            <w:r>
              <w:rPr>
                <w:sz w:val="18"/>
              </w:rPr>
              <w:t>E. A. Stern and K. Kim, Phys. Rev. B 23, 3781 (1981)</w:t>
            </w:r>
          </w:p>
        </w:tc>
        <w:tc>
          <w:tcPr>
            <w:tcW w:type="dxa" w:w="2351"/>
          </w:tcPr>
          <w:p>
            <w:r>
              <w:rPr>
                <w:sz w:val="18"/>
              </w:rPr>
              <w:t>thickness effect, GATE-EDGE upper bound physical basis</w:t>
            </w:r>
          </w:p>
        </w:tc>
        <w:tc>
          <w:tcPr>
            <w:tcW w:type="dxa" w:w="2351"/>
          </w:tcPr>
          <w:p>
            <w:r>
              <w:rPr>
                <w:sz w:val="18"/>
              </w:rPr>
              <w:t>bibliography only</w:t>
            </w:r>
          </w:p>
        </w:tc>
      </w:tr>
      <w:tr>
        <w:tc>
          <w:tcPr>
            <w:tcW w:type="dxa" w:w="2351"/>
          </w:tcPr>
          <w:p>
            <w:r>
              <w:rPr>
                <w:sz w:val="18"/>
              </w:rPr>
              <w:t>9</w:t>
            </w:r>
          </w:p>
        </w:tc>
        <w:tc>
          <w:tcPr>
            <w:tcW w:type="dxa" w:w="2351"/>
          </w:tcPr>
          <w:p>
            <w:r>
              <w:rPr>
                <w:sz w:val="18"/>
              </w:rPr>
              <w:t>B. Ravel and M. Newville, J. Synchrotron Rad. 12, 537 (2005)</w:t>
            </w:r>
          </w:p>
        </w:tc>
        <w:tc>
          <w:tcPr>
            <w:tcW w:type="dxa" w:w="2351"/>
          </w:tcPr>
          <w:p>
            <w:r>
              <w:rPr>
                <w:sz w:val="18"/>
              </w:rPr>
              <w:t>R-factor definition, C-SHAPE observable</w:t>
            </w:r>
          </w:p>
        </w:tc>
        <w:tc>
          <w:tcPr>
            <w:tcW w:type="dxa" w:w="2351"/>
          </w:tcPr>
          <w:p>
            <w:r>
              <w:rPr>
                <w:sz w:val="18"/>
              </w:rPr>
              <w:t>bibliography only</w:t>
            </w:r>
          </w:p>
        </w:tc>
      </w:tr>
    </w:tbl>
    <w:p>
      <w:r>
        <w:br w:type="page"/>
      </w:r>
    </w:p>
    <w:p>
      <w:pPr>
        <w:pStyle w:val="Heading1"/>
        <w:jc w:val="left"/>
      </w:pPr>
      <w:r>
        <w:t>Part II. User Manual</w:t>
      </w:r>
    </w:p>
    <w:p>
      <w:pPr>
        <w:pStyle w:val="Heading2"/>
      </w:pPr>
      <w:r>
        <w:t>8. Installation</w:t>
      </w:r>
    </w:p>
    <w:p>
      <w:r>
        <w:t>The application targets Python 3.11 or newer on Windows, macOS, and Linux, though it is developed and primarily tested on Windows 11. To install:</w:t>
      </w:r>
    </w:p>
    <w:p>
      <w:r>
        <w:rPr>
          <w:rFonts w:ascii="Consolas" w:hAnsi="Consolas"/>
          <w:sz w:val="18"/>
        </w:rPr>
        <w:t>python -m venv .venv</w:t>
        <w:br/>
        <w:t>.venv\Scripts\python -m pip install -r requirements.txt</w:t>
      </w:r>
    </w:p>
    <w:p>
      <w:r>
        <w:t>The dependency tree pulled by xraylarch is large (scipy, lmfit, pymatgen, silx, h5py, sqlalchemy, plotly, mkl); first install takes several minutes. PyYAML is required for config parsing and pytest for the test suite.</w:t>
      </w:r>
    </w:p>
    <w:p>
      <w:pPr>
        <w:pStyle w:val="Heading2"/>
      </w:pPr>
      <w:r>
        <w:t>9. Data preparation</w:t>
      </w:r>
    </w:p>
    <w:p>
      <w:r>
        <w:t>The application expects a dataset root folder containing per-Z-row subfolders named Z{i}_{z} (i in 0..10, z = i - 5). Each Z folder holds up to 11 files matching the pattern:</w:t>
      </w:r>
    </w:p>
    <w:p>
      <w:r>
        <w:rPr>
          <w:rFonts w:ascii="Consolas" w:hAnsi="Consolas"/>
          <w:sz w:val="18"/>
        </w:rPr>
        <w:t>X{j}_{x}_{start}_{end}_XANES.txt</w:t>
      </w:r>
    </w:p>
    <w:p>
      <w:r>
        <w:t>Filename matching is case-insensitive (a legacy dataset had one file starting with a lowercase 'x'; regex now accepts both). Every filename that fails the regex is silently dropped by the loader; a validate_root call at batch startup reports both the number of X files per Z folder and any regex-rejected filenames so genuine typos are surfaced.</w:t>
      </w:r>
    </w:p>
    <w:p>
      <w:pPr>
        <w:pStyle w:val="Heading2"/>
      </w:pPr>
      <w:r>
        <w:t>10. GUI overview</w:t>
      </w:r>
    </w:p>
    <w:p>
      <w:r>
        <w:t>Launch the GUI:</w:t>
      </w:r>
    </w:p>
    <w:p>
      <w:r>
        <w:rPr>
          <w:rFonts w:ascii="Consolas" w:hAnsi="Consolas"/>
          <w:sz w:val="18"/>
        </w:rPr>
        <w:t>python main.py</w:t>
      </w:r>
    </w:p>
    <w:p>
      <w:r>
        <w:t>On startup you are prompted for the dataset root; the folder dialog opens at the project directory containing main.py. Pick image_AI_Ni/ (or wherever your dataset lives). The main window has three vertical panels (Z folders, X sections, Section info) and a top button bar.</w:t>
      </w:r>
    </w:p>
    <w:p>
      <w:pPr>
        <w:pStyle w:val="Heading3"/>
      </w:pPr>
      <w:r>
        <w:t>10.1 Top bar buttons</w:t>
      </w:r>
    </w:p>
    <w:tbl>
      <w:tblPr>
        <w:tblStyle w:val="LightGrid-Accent1"/>
        <w:tblW w:type="auto" w:w="0"/>
        <w:tblLook w:firstColumn="1" w:firstRow="1" w:lastColumn="0" w:lastRow="0" w:noHBand="0" w:noVBand="1" w:val="04A0"/>
      </w:tblPr>
      <w:tblGrid>
        <w:gridCol w:w="4703"/>
        <w:gridCol w:w="4703"/>
      </w:tblGrid>
      <w:tr>
        <w:tc>
          <w:tcPr>
            <w:tcW w:type="dxa" w:w="4703"/>
          </w:tcPr>
          <w:p>
            <w:r>
              <w:rPr>
                <w:b/>
                <w:sz w:val="20"/>
              </w:rPr>
              <w:t>Button</w:t>
            </w:r>
          </w:p>
        </w:tc>
        <w:tc>
          <w:tcPr>
            <w:tcW w:type="dxa" w:w="4703"/>
          </w:tcPr>
          <w:p>
            <w:r>
              <w:rPr>
                <w:b/>
                <w:sz w:val="20"/>
              </w:rPr>
              <w:t>Purpose</w:t>
            </w:r>
          </w:p>
        </w:tc>
      </w:tr>
      <w:tr>
        <w:tc>
          <w:tcPr>
            <w:tcW w:type="dxa" w:w="4703"/>
          </w:tcPr>
          <w:p>
            <w:r>
              <w:rPr>
                <w:sz w:val="18"/>
              </w:rPr>
              <w:t>Choose root...</w:t>
            </w:r>
          </w:p>
        </w:tc>
        <w:tc>
          <w:tcPr>
            <w:tcW w:type="dxa" w:w="4703"/>
          </w:tcPr>
          <w:p>
            <w:r>
              <w:rPr>
                <w:sz w:val="18"/>
              </w:rPr>
              <w:t>Re-select the dataset root folder.</w:t>
            </w:r>
          </w:p>
        </w:tc>
      </w:tr>
      <w:tr>
        <w:tc>
          <w:tcPr>
            <w:tcW w:type="dxa" w:w="4703"/>
          </w:tcPr>
          <w:p>
            <w:r>
              <w:rPr>
                <w:sz w:val="18"/>
              </w:rPr>
              <w:t>Process all (batch)</w:t>
            </w:r>
          </w:p>
        </w:tc>
        <w:tc>
          <w:tcPr>
            <w:tcW w:type="dxa" w:w="4703"/>
          </w:tcPr>
          <w:p>
            <w:r>
              <w:rPr>
                <w:sz w:val="18"/>
              </w:rPr>
              <w:t>Run Stage 1 pipeline over the whole tree. Progress bar advances; already-cached cells are skipped.</w:t>
            </w:r>
          </w:p>
        </w:tc>
      </w:tr>
      <w:tr>
        <w:tc>
          <w:tcPr>
            <w:tcW w:type="dxa" w:w="4703"/>
          </w:tcPr>
          <w:p>
            <w:r>
              <w:rPr>
                <w:sz w:val="18"/>
              </w:rPr>
              <w:t>Examine 121</w:t>
            </w:r>
          </w:p>
        </w:tc>
        <w:tc>
          <w:tcPr>
            <w:tcW w:type="dxa" w:w="4703"/>
          </w:tcPr>
          <w:p>
            <w:r>
              <w:rPr>
                <w:sz w:val="18"/>
              </w:rPr>
              <w:t>Run Stage 2 (rule-based) over the whole cache. Auto-opens a results panel with usable count, flag breakdown, and per-rule tally.</w:t>
            </w:r>
          </w:p>
        </w:tc>
      </w:tr>
      <w:tr>
        <w:tc>
          <w:tcPr>
            <w:tcW w:type="dxa" w:w="4703"/>
          </w:tcPr>
          <w:p>
            <w:r>
              <w:rPr>
                <w:sz w:val="18"/>
              </w:rPr>
              <w:t>Config...</w:t>
            </w:r>
          </w:p>
        </w:tc>
        <w:tc>
          <w:tcPr>
            <w:tcW w:type="dxa" w:w="4703"/>
          </w:tcPr>
          <w:p>
            <w:r>
              <w:rPr>
                <w:sz w:val="18"/>
              </w:rPr>
              <w:t>Open the tabbed Rules + Edge editor. See section 11.</w:t>
            </w:r>
          </w:p>
        </w:tc>
      </w:tr>
      <w:tr>
        <w:tc>
          <w:tcPr>
            <w:tcW w:type="dxa" w:w="4703"/>
          </w:tcPr>
          <w:p>
            <w:r>
              <w:rPr>
                <w:sz w:val="18"/>
              </w:rPr>
              <w:t>11x11 heatmap</w:t>
            </w:r>
          </w:p>
        </w:tc>
        <w:tc>
          <w:tcPr>
            <w:tcW w:type="dxa" w:w="4703"/>
          </w:tcPr>
          <w:p>
            <w:r>
              <w:rPr>
                <w:sz w:val="18"/>
              </w:rPr>
              <w:t>Open the flag heatmap (colour by raw metric or by smooth / consistent / usable). Click any cell to jump-select it.</w:t>
            </w:r>
          </w:p>
        </w:tc>
      </w:tr>
      <w:tr>
        <w:tc>
          <w:tcPr>
            <w:tcW w:type="dxa" w:w="4703"/>
          </w:tcPr>
          <w:p>
            <w:r>
              <w:rPr>
                <w:sz w:val="18"/>
              </w:rPr>
              <w:t>Rule violations</w:t>
            </w:r>
          </w:p>
        </w:tc>
        <w:tc>
          <w:tcPr>
            <w:tcW w:type="dxa" w:w="4703"/>
          </w:tcPr>
          <w:p>
            <w:r>
              <w:rPr>
                <w:sz w:val="18"/>
              </w:rPr>
              <w:t>Small-multiples: one 11x11 heatmap per rule. Click any cell to jump-select.</w:t>
            </w:r>
          </w:p>
        </w:tc>
      </w:tr>
    </w:tbl>
    <w:p>
      <w:pPr>
        <w:pStyle w:val="Heading3"/>
      </w:pPr>
      <w:r>
        <w:t>10.2 Three-panel browser</w:t>
      </w:r>
    </w:p>
    <w:p>
      <w:pPr>
        <w:pStyle w:val="ListNumber"/>
      </w:pPr>
      <w:r>
        <w:t>Click a Z folder in the left panel to list its X sections.</w:t>
      </w:r>
    </w:p>
    <w:p>
      <w:pPr>
        <w:pStyle w:val="ListNumber"/>
      </w:pPr>
      <w:r>
        <w:t>Single-click an X section to load its cache and populate the Section info panel (raw metrics Q1-Q6 plus, if Examine has been run, the rule-based smooth / consistent / usable summary).</w:t>
      </w:r>
    </w:p>
    <w:p>
      <w:pPr>
        <w:pStyle w:val="ListNumber"/>
      </w:pPr>
      <w:r>
        <w:t>Double-click an X section to also open the Pre-edge and Normalized plot windows (singletons; the same window is re-drawn if opened again).</w:t>
      </w:r>
    </w:p>
    <w:p>
      <w:pPr>
        <w:pStyle w:val="Heading3"/>
      </w:pPr>
      <w:r>
        <w:t>10.3 Plot windows</w:t>
      </w:r>
    </w:p>
    <w:p>
      <w:r>
        <w:t>Three plot kinds are available:</w:t>
      </w:r>
    </w:p>
    <w:p>
      <w:pPr>
        <w:pStyle w:val="ListBullet"/>
      </w:pPr>
      <w:r>
        <w:t>Pre-edge plot -- mu(E) with the fitted pre-edge line and post-edge polynomial overlaid.</w:t>
      </w:r>
    </w:p>
    <w:p>
      <w:pPr>
        <w:pStyle w:val="ListBullet"/>
      </w:pPr>
      <w:r>
        <w:t>Normalized plot -- both norm (standard normalization) and flat (post-edge polynomial subtracted above E0) curves.</w:t>
      </w:r>
    </w:p>
    <w:p>
      <w:pPr>
        <w:pStyle w:val="ListBullet"/>
      </w:pPr>
      <w:r>
        <w:t>Both plots (combined) -- a single Toplevel with the two panels side by side, matching the reference image used during development.</w:t>
      </w:r>
    </w:p>
    <w:p>
      <w:r>
        <w:t>Each kind has its own singleton window. Selecting a different cell simply updates whichever kinds are already open.</w:t>
      </w:r>
    </w:p>
    <w:p>
      <w:pPr>
        <w:pStyle w:val="Heading2"/>
      </w:pPr>
      <w:r>
        <w:t>11. Config editor</w:t>
      </w:r>
    </w:p>
    <w:p>
      <w:r>
        <w:t>The Config... panel is a Toplevel with two tabs and a shared footer.</w:t>
      </w:r>
    </w:p>
    <w:p>
      <w:pPr>
        <w:pStyle w:val="Heading3"/>
      </w:pPr>
      <w:r>
        <w:t>11.1 Rules tab</w:t>
      </w:r>
    </w:p>
    <w:p>
      <w:r>
        <w:t>One row per registered rule showing the rule ID as a blue underlined hyperlink, an enable/disable checkbox, the flag (gate / smooth / consistent), and editable Entry widgets for each numeric parameter (warn_z, fail_z, min, max, max_count as applicable). Clicking a rule ID opens a non-modal Traditional-Chinese help window explaining the rule's mathematics, dependencies, and parameters. The help window uses Georgia for Latin characters and DFKai-SB (biau kai) for CJK characters and can be left open while continuing to edit.</w:t>
      </w:r>
    </w:p>
    <w:p>
      <w:pPr>
        <w:pStyle w:val="Heading3"/>
      </w:pPr>
      <w:r>
        <w:t>11.2 Edge tab</w:t>
      </w:r>
    </w:p>
    <w:p>
      <w:r>
        <w:t>One row per key in the config.yaml edge section. Two-element list values (mono_offset_window_eV and ref_e0_search_eV) are shown as [a , b] with two Entry widgets. Field names are clickable hyperlinks with descriptions of what CAL-EREF's L1 / L2 / L3 checks use each parameter for.</w:t>
      </w:r>
    </w:p>
    <w:p>
      <w:pPr>
        <w:pStyle w:val="Heading3"/>
      </w:pPr>
      <w:r>
        <w:t>11.3 Apply and save</w:t>
      </w:r>
    </w:p>
    <w:p>
      <w:r>
        <w:t>The shared footer has one checkbox (Save to config.yaml on Apply, default off), an Apply &amp; Examine button that writes both tabs' state into the in-memory config and immediately runs Examine, and a Close button. Nothing is written to disk unless Save is checked; unchecked edits are held in memory for subsequent Examine runs but revert if the application is restarted.</w:t>
      </w:r>
    </w:p>
    <w:p>
      <w:pPr>
        <w:pStyle w:val="Heading2"/>
      </w:pPr>
      <w:r>
        <w:t>12. Command-line usage</w:t>
      </w:r>
    </w:p>
    <w:p>
      <w:r>
        <w:t>Two headless modes are available (no GUI). Both accept an optional --config path (default ./config.yaml).</w:t>
      </w:r>
    </w:p>
    <w:p>
      <w:r>
        <w:rPr>
          <w:rFonts w:ascii="Consolas" w:hAnsi="Consolas"/>
          <w:sz w:val="18"/>
        </w:rPr>
        <w:t>python main.py --batch image_AI_Ni</w:t>
        <w:br/>
        <w:t>python main.py --examine image_AI_Ni</w:t>
        <w:br/>
        <w:t>python main.py --batch image_AI_Ni --examine image_AI_Ni</w:t>
      </w:r>
    </w:p>
    <w:p>
      <w:r>
        <w:t>The --batch flag runs Stage 1 over every unprocessed cell in the dataset root. --examine runs Stage 2 over the current cache. Both can be combined in a single invocation to fully rebuild artefacts from raw text files.</w:t>
      </w:r>
    </w:p>
    <w:p>
      <w:pPr>
        <w:pStyle w:val="Heading2"/>
      </w:pPr>
      <w:r>
        <w:t>13. Reference: config.yaml</w:t>
      </w:r>
    </w:p>
    <w:p>
      <w:r>
        <w:t>The config file has four top-level sections. All numeric values are starting seeds; nothing is hard-coded in the source.</w:t>
      </w:r>
    </w:p>
    <w:p>
      <w:r>
        <w:rPr>
          <w:rFonts w:ascii="Consolas" w:hAnsi="Consolas"/>
          <w:sz w:val="18"/>
        </w:rPr>
        <w:t>grid:</w:t>
        <w:br/>
        <w:t xml:space="preserve">  n: 11                       # grid dimension (fixed at 11 x 11)</w:t>
        <w:br/>
        <w:br/>
        <w:t>edge:</w:t>
        <w:br/>
        <w:t xml:space="preserve">  element: Ni</w:t>
        <w:br/>
        <w:t xml:space="preserve">  edge: K</w:t>
        <w:br/>
        <w:t xml:space="preserve">  e0_nominal_eV: 8333.0        # CAL-EREF L1 reference</w:t>
        <w:br/>
        <w:t xml:space="preserve">  e0_alt_eV: 8331.90           # Info.txt alternate nominal</w:t>
        <w:br/>
        <w:t xml:space="preserve">  e0_nominal_tol_eV: 1.5       # CAL-EREF L2 tolerance</w:t>
        <w:br/>
        <w:t xml:space="preserve">  mono_offset_window_eV: [-5.0, 25.0]   # CAL-EREF L1 window</w:t>
        <w:br/>
        <w:t xml:space="preserve">  ref_e0_search_eV: [8320.0, 8370.0]    # find_e0 search bounds</w:t>
        <w:br/>
        <w:t xml:space="preserve">  ref_e0_spread_tol_eV: 0.3    # CAL-EREF L3 tolerance</w:t>
        <w:br/>
        <w:br/>
        <w:t>examine:</w:t>
        <w:br/>
        <w:t xml:space="preserve">  combine_mode: worst          # worst | weighted (not implemented)</w:t>
        <w:br/>
        <w:t xml:space="preserve">  shape_grid_eV: [-30.0, 150.0, 0.3]    # C-SHAPE common grid</w:t>
        <w:br/>
        <w:br/>
        <w:t>rules:</w:t>
        <w:br/>
        <w:t xml:space="preserve">  GATE-EDGE:    {enabled: true,  min: 0.10, max: 1.5}</w:t>
        <w:br/>
        <w:t xml:space="preserve">  CAL-EREF:     {enabled: true}</w:t>
        <w:br/>
        <w:t xml:space="preserve">  R-SNR:        {enabled: true,  warn_z: 3, fail_z: 5}</w:t>
        <w:br/>
        <w:t xml:space="preserve">  R-NOISE-HF:   {enabled: true,  warn_z: 3, fail_z: 5}</w:t>
        <w:br/>
        <w:t xml:space="preserve">  R-PRE-FLAT:   {enabled: true,  warn_z: 3, fail_z: 5}</w:t>
        <w:br/>
        <w:t xml:space="preserve">  R-GLITCH:     {enabled: true,  warn_z: 3, fail_z: 5, max_count: 5}</w:t>
        <w:br/>
        <w:t xml:space="preserve">  R-EDGE-FWHM:  {enabled: true,  warn_z: 2.5, fail_z: 4}</w:t>
        <w:br/>
        <w:t xml:space="preserve">  R-NORM-COEFS: {enabled: true,  warn_z: 2.5, fail_z: 4}</w:t>
        <w:br/>
        <w:t xml:space="preserve">  C-SHAPE:      {enabled: true,  warn_z: 3, fail_z: 5}</w:t>
        <w:br/>
        <w:t xml:space="preserve">  C-E0-NBR:     {enabled: true,  warn_z: 3, fail_z: 5}</w:t>
        <w:br/>
        <w:t xml:space="preserve">  C-CUMDIFF:    {enabled: false, warn_z: 3, fail_z: 5}</w:t>
        <w:br/>
        <w:br/>
        <w:t>db:</w:t>
        <w:br/>
        <w:t xml:space="preserve">  enabled: false               # MySQL wiring deferred</w:t>
      </w:r>
    </w:p>
    <w:p>
      <w:pPr>
        <w:pStyle w:val="Heading2"/>
      </w:pPr>
      <w:r>
        <w:t>14. Cache layout on disk</w:t>
      </w:r>
    </w:p>
    <w:p>
      <w:r>
        <w:t>All outputs live under data/ and image/, mirroring the Z-folder structure of the source dataset. The stem X{j}_{x}_{start}_{end} is always uppercase X, regardless of the source filename's case.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File</w:t>
            </w:r>
          </w:p>
        </w:tc>
        <w:tc>
          <w:tcPr>
            <w:tcW w:type="dxa" w:w="3135"/>
          </w:tcPr>
          <w:p>
            <w:r>
              <w:rPr>
                <w:b/>
                <w:sz w:val="20"/>
              </w:rPr>
              <w:t>Producer</w:t>
            </w:r>
          </w:p>
        </w:tc>
        <w:tc>
          <w:tcPr>
            <w:tcW w:type="dxa" w:w="3135"/>
          </w:tcPr>
          <w:p>
            <w:r>
              <w:rPr>
                <w:b/>
                <w:sz w:val="20"/>
              </w:rPr>
              <w:t>Contents</w:t>
            </w:r>
          </w:p>
        </w:tc>
      </w:tr>
      <w:tr>
        <w:tc>
          <w:tcPr>
            <w:tcW w:type="dxa" w:w="3135"/>
          </w:tcPr>
          <w:p>
            <w:r>
              <w:rPr>
                <w:sz w:val="18"/>
              </w:rPr>
              <w:t>data/{Zdir}/{stem}.npz</w:t>
            </w:r>
          </w:p>
        </w:tc>
        <w:tc>
          <w:tcPr>
            <w:tcW w:type="dxa" w:w="3135"/>
          </w:tcPr>
          <w:p>
            <w:r>
              <w:rPr>
                <w:sz w:val="18"/>
              </w:rPr>
              <w:t>Stage 1</w:t>
            </w:r>
          </w:p>
        </w:tc>
        <w:tc>
          <w:tcPr>
            <w:tcW w:type="dxa" w:w="3135"/>
          </w:tcPr>
          <w:p>
            <w:r>
              <w:rPr>
                <w:sz w:val="18"/>
              </w:rPr>
              <w:t>energy, mu, mu_ref, pre_edge, post_edge, norm, flat (float32); e0, edge_step scalars</w:t>
            </w:r>
          </w:p>
        </w:tc>
      </w:tr>
      <w:tr>
        <w:tc>
          <w:tcPr>
            <w:tcW w:type="dxa" w:w="3135"/>
          </w:tcPr>
          <w:p>
            <w:r>
              <w:rPr>
                <w:sz w:val="18"/>
              </w:rPr>
              <w:t>data/{Zdir}/{stem}.json</w:t>
            </w:r>
          </w:p>
        </w:tc>
        <w:tc>
          <w:tcPr>
            <w:tcW w:type="dxa" w:w="3135"/>
          </w:tcPr>
          <w:p>
            <w:r>
              <w:rPr>
                <w:sz w:val="18"/>
              </w:rPr>
              <w:t>Stage 1</w:t>
            </w:r>
          </w:p>
        </w:tc>
        <w:tc>
          <w:tcPr>
            <w:tcW w:type="dxa" w:w="3135"/>
          </w:tcPr>
          <w:p>
            <w:r>
              <w:rPr>
                <w:sz w:val="18"/>
              </w:rPr>
              <w:t>i, j, z, x, seg_start, seg_end, pre1, pre2, norm1, norm2, nnorm, nvict, pre_slope, norm_c0/1/2, Q1-Q6, edge_fwhm_eV, mu_ref_e0, usable (legacy)</w:t>
            </w:r>
          </w:p>
        </w:tc>
      </w:tr>
      <w:tr>
        <w:tc>
          <w:tcPr>
            <w:tcW w:type="dxa" w:w="3135"/>
          </w:tcPr>
          <w:p>
            <w:r>
              <w:rPr>
                <w:sz w:val="18"/>
              </w:rPr>
              <w:t>data/{Zdir}/{stem}.examine.json</w:t>
            </w:r>
          </w:p>
        </w:tc>
        <w:tc>
          <w:tcPr>
            <w:tcW w:type="dxa" w:w="3135"/>
          </w:tcPr>
          <w:p>
            <w:r>
              <w:rPr>
                <w:sz w:val="18"/>
              </w:rPr>
              <w:t>Stage 2</w:t>
            </w:r>
          </w:p>
        </w:tc>
        <w:tc>
          <w:tcPr>
            <w:tcW w:type="dxa" w:w="3135"/>
          </w:tcPr>
          <w:p>
            <w:r>
              <w:rPr>
                <w:sz w:val="18"/>
              </w:rPr>
              <w:t>run_id, smooth, consistent, usable, per-rule {level, value, reason}</w:t>
            </w:r>
          </w:p>
        </w:tc>
      </w:tr>
      <w:tr>
        <w:tc>
          <w:tcPr>
            <w:tcW w:type="dxa" w:w="3135"/>
          </w:tcPr>
          <w:p>
            <w:r>
              <w:rPr>
                <w:sz w:val="18"/>
              </w:rPr>
              <w:t>data/examine_run.json</w:t>
            </w:r>
          </w:p>
        </w:tc>
        <w:tc>
          <w:tcPr>
            <w:tcW w:type="dxa" w:w="3135"/>
          </w:tcPr>
          <w:p>
            <w:r>
              <w:rPr>
                <w:sz w:val="18"/>
              </w:rPr>
              <w:t>Stage 2</w:t>
            </w:r>
          </w:p>
        </w:tc>
        <w:tc>
          <w:tcPr>
            <w:tcW w:type="dxa" w:w="3135"/>
          </w:tcPr>
          <w:p>
            <w:r>
              <w:rPr>
                <w:sz w:val="18"/>
              </w:rPr>
              <w:t>run_id, computed_at, pipeline_version, config_hash, full config, combine_mode, n_cells, gate_pass count, baseline stats</w:t>
            </w:r>
          </w:p>
        </w:tc>
      </w:tr>
      <w:tr>
        <w:tc>
          <w:tcPr>
            <w:tcW w:type="dxa" w:w="3135"/>
          </w:tcPr>
          <w:p>
            <w:r>
              <w:rPr>
                <w:sz w:val="18"/>
              </w:rPr>
              <w:t>image/{Zdir}/{stem}_preedge.png</w:t>
            </w:r>
          </w:p>
        </w:tc>
        <w:tc>
          <w:tcPr>
            <w:tcW w:type="dxa" w:w="3135"/>
          </w:tcPr>
          <w:p>
            <w:r>
              <w:rPr>
                <w:sz w:val="18"/>
              </w:rPr>
              <w:t>Stage 1</w:t>
            </w:r>
          </w:p>
        </w:tc>
        <w:tc>
          <w:tcPr>
            <w:tcW w:type="dxa" w:w="3135"/>
          </w:tcPr>
          <w:p>
            <w:r>
              <w:rPr>
                <w:sz w:val="18"/>
              </w:rPr>
              <w:t>mu(E) with pre-edge line and post-edge curve overlaid</w:t>
            </w:r>
          </w:p>
        </w:tc>
      </w:tr>
      <w:tr>
        <w:tc>
          <w:tcPr>
            <w:tcW w:type="dxa" w:w="3135"/>
          </w:tcPr>
          <w:p>
            <w:r>
              <w:rPr>
                <w:sz w:val="18"/>
              </w:rPr>
              <w:t>image/{Zdir}/{stem}_norm.png</w:t>
            </w:r>
          </w:p>
        </w:tc>
        <w:tc>
          <w:tcPr>
            <w:tcW w:type="dxa" w:w="3135"/>
          </w:tcPr>
          <w:p>
            <w:r>
              <w:rPr>
                <w:sz w:val="18"/>
              </w:rPr>
              <w:t>Stage 1</w:t>
            </w:r>
          </w:p>
        </w:tc>
        <w:tc>
          <w:tcPr>
            <w:tcW w:type="dxa" w:w="3135"/>
          </w:tcPr>
          <w:p>
            <w:r>
              <w:rPr>
                <w:sz w:val="18"/>
              </w:rPr>
              <w:t>norm and flat curves</w:t>
            </w:r>
          </w:p>
        </w:tc>
      </w:tr>
    </w:tbl>
    <w:p>
      <w:pPr>
        <w:pStyle w:val="Heading2"/>
      </w:pPr>
      <w:r>
        <w:t>15. Troubleshooting</w:t>
      </w:r>
    </w:p>
    <w:p>
      <w:r>
        <w:t>Common issues and their resolutions:</w:t>
      </w:r>
    </w:p>
    <w:p>
      <w:pPr>
        <w:pStyle w:val="ListBullet"/>
      </w:pPr>
      <w:r>
        <w:t>'py: import larch' fails on click. Larch is imported lazily inside pipeline.run_pre_edge to avoid slowing GUI startup. Ensure xraylarch is installed in the active venv and that the venv's Python is on PATH.</w:t>
      </w:r>
    </w:p>
    <w:p>
      <w:pPr>
        <w:pStyle w:val="ListBullet"/>
      </w:pPr>
      <w:r>
        <w:t>Heatmap has grey cells after Examine. Grey means either that cell was not in the cache (pipeline never ran on it) or the current metric is not defined for that cell. For flag mode, grey == N/A which happens when a required rule is disabled or the cell failed GATE-EDGE.</w:t>
      </w:r>
    </w:p>
    <w:p>
      <w:pPr>
        <w:pStyle w:val="ListBullet"/>
      </w:pPr>
      <w:r>
        <w:t>Rule violations window shows all N/A for a rule you enabled. That rule may require a dependency that is disabled. Check the rule's help popup (click its ID in the Config panel) for the requires list.</w:t>
      </w:r>
    </w:p>
    <w:p>
      <w:pPr>
        <w:pStyle w:val="ListBullet"/>
      </w:pPr>
      <w:r>
        <w:t>Cannot edit older cached cells' new fields (edge_fwhm_eV etc). Legacy caches predate pipeline v1.2 field additions. Trigger a reprocess: either delete data/**/*.json for those cells or run Reprocess from the Section info panel to force-recompute a single cell.</w:t>
      </w:r>
    </w:p>
    <w:p>
      <w:pPr>
        <w:pStyle w:val="ListBullet"/>
      </w:pPr>
      <w:r>
        <w:t>config.yaml edits in the GUI don't persist. Ensure the 'Save to config.yaml on Apply' checkbox in the Config panel footer is ticked before pressing Apply. In-memory edits are kept for the current session and thrown away on restart.</w:t>
      </w:r>
    </w:p>
    <w:p>
      <w:pPr>
        <w:pStyle w:val="ListBullet"/>
      </w:pPr>
      <w:r>
        <w:t>Windows glob is case-insensitive but the loader used to require uppercase X. Since pipeline v1.3 the FNAME_RE regex is case-insensitive; a stray 'x5_0_...' filename is now accepted. If your grid shows 120/121, look for such filenames or run validate_root to see what was rejected.</w:t>
      </w:r>
    </w:p>
    <w:p>
      <w:pPr>
        <w:pStyle w:val="Heading2"/>
      </w:pPr>
      <w:r>
        <w:t>16. Testing</w:t>
      </w:r>
    </w:p>
    <w:p>
      <w:r>
        <w:t>The pytest suite (test/) covers regex and naming invariants, folder / file discovery, raw data format sanity, the pipeline round-trip (arrays and PNG artefacts), quality-metric shapes, cache I/O, a GUI import smoke test, and the examine engine including rule dispatch, N/A propagation from disabled dependencies, config-hash determinism, flag combination in worst mode, lippold_c7 identities on synthetic spectra, C-CUMDIFF jump detection, R-EDGE-FWHM broaden/narrow detection, and R-NORM-COEFS legacy-cache handling. Run:</w:t>
      </w:r>
    </w:p>
    <w:p>
      <w:r>
        <w:rPr>
          <w:rFonts w:ascii="Consolas" w:hAnsi="Consolas"/>
          <w:sz w:val="18"/>
        </w:rPr>
        <w:t>python -m pytest test/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標楷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標楷體"/>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標楷體"/>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標楷體"/>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