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专题</w:t>
      </w:r>
      <w:r>
        <w:rPr>
          <w:rFonts w:hint="eastAsia"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：原始生殖细胞发生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认真阅读附件文献 (Development, 2003, 130: 5869-5884)，结合网上资料查阅，完成以下作业：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1:</w:t>
      </w:r>
      <w:r>
        <w:rPr>
          <w:rFonts w:hint="eastAsia" w:ascii="Times New Roman" w:hAnsi="Times New Roman" w:cs="Times New Roman"/>
          <w:b/>
          <w:bCs/>
        </w:rPr>
        <w:t xml:space="preserve"> 5分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summarize </w:t>
      </w:r>
      <w:r>
        <w:rPr>
          <w:rFonts w:hint="eastAsia" w:ascii="Times New Roman" w:hAnsi="Times New Roman" w:cs="Times New Roman"/>
        </w:rPr>
        <w:t xml:space="preserve">morphologic and genetic </w:t>
      </w:r>
      <w:r>
        <w:rPr>
          <w:rFonts w:ascii="Times New Roman" w:hAnsi="Times New Roman" w:cs="Times New Roman"/>
        </w:rPr>
        <w:t>characterization</w:t>
      </w:r>
      <w:r>
        <w:rPr>
          <w:rFonts w:hint="eastAsia" w:ascii="Times New Roman" w:hAnsi="Times New Roman" w:cs="Times New Roman"/>
        </w:rPr>
        <w:t xml:space="preserve">, and the cell division mode of </w:t>
      </w:r>
      <w:r>
        <w:rPr>
          <w:rFonts w:ascii="Times New Roman" w:hAnsi="Times New Roman" w:cs="Times New Roman"/>
        </w:rPr>
        <w:t>primordial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germ cell.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Morphologic </w:t>
      </w:r>
      <w:r>
        <w:rPr>
          <w:rFonts w:ascii="Times New Roman" w:hAnsi="Times New Roman" w:cs="Times New Roman"/>
          <w:highlight w:val="green"/>
        </w:rPr>
        <w:t>characterization</w:t>
      </w:r>
      <w:r>
        <w:rPr>
          <w:rFonts w:hint="eastAsia" w:ascii="Times New Roman" w:hAnsi="Times New Roman" w:cs="Times New Roman"/>
          <w:highlight w:val="green"/>
        </w:rPr>
        <w:t>：large round nucleus, single large nucleolus, cytoplasm relatively clear of organelles, and granular cytoplasmic material.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genetic </w:t>
      </w:r>
      <w:r>
        <w:rPr>
          <w:rFonts w:ascii="Times New Roman" w:hAnsi="Times New Roman" w:cs="Times New Roman"/>
          <w:highlight w:val="green"/>
        </w:rPr>
        <w:t>characterization</w:t>
      </w:r>
      <w:r>
        <w:rPr>
          <w:rFonts w:hint="eastAsia" w:ascii="Times New Roman" w:hAnsi="Times New Roman" w:cs="Times New Roman"/>
          <w:highlight w:val="green"/>
        </w:rPr>
        <w:t>：2n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>cell division mode：mitotic division</w:t>
      </w:r>
    </w:p>
    <w:p>
      <w:r>
        <w:drawing>
          <wp:inline distT="0" distB="0" distL="114300" distR="114300">
            <wp:extent cx="4644390" cy="2052955"/>
            <wp:effectExtent l="0" t="0" r="381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2:</w:t>
      </w:r>
      <w:r>
        <w:rPr>
          <w:rFonts w:hint="eastAsia" w:ascii="Times New Roman" w:hAnsi="Times New Roman" w:cs="Times New Roman"/>
          <w:b/>
          <w:bCs/>
        </w:rPr>
        <w:t xml:space="preserve"> 5分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difference between the two models of germ cell specification described in the paper from the two aspects (timing and mechanism), and give an example for each model.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>Box1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先成说</w:t>
      </w:r>
      <w:r>
        <w:rPr>
          <w:rFonts w:hint="eastAsia" w:ascii="Times New Roman" w:hAnsi="Times New Roman" w:cs="Times New Roman"/>
          <w:color w:val="FF0000"/>
        </w:rPr>
        <w:t>：生殖质决定（母源性的</w:t>
      </w:r>
      <w:r>
        <w:rPr>
          <w:rFonts w:ascii="Times New Roman" w:hAnsi="Times New Roman" w:cs="Times New Roman"/>
          <w:color w:val="FF0000"/>
        </w:rPr>
        <w:t>RNA</w:t>
      </w:r>
      <w:r>
        <w:rPr>
          <w:rFonts w:hint="eastAsia" w:ascii="Times New Roman" w:hAnsi="Times New Roman" w:cs="Times New Roman"/>
          <w:color w:val="FF0000"/>
        </w:rPr>
        <w:t>和蛋白质）；从受精卵第一次卵裂时就已经分离到不同的卵裂细胞，即从胚胎发生起就与体细胞不同（线虫的</w:t>
      </w:r>
      <w:r>
        <w:rPr>
          <w:rFonts w:ascii="Times New Roman" w:hAnsi="Times New Roman" w:cs="Times New Roman"/>
          <w:color w:val="FF0000"/>
        </w:rPr>
        <w:t>P</w:t>
      </w:r>
      <w:r>
        <w:rPr>
          <w:rFonts w:hint="eastAsia" w:ascii="Times New Roman" w:hAnsi="Times New Roman" w:cs="Times New Roman"/>
          <w:color w:val="FF0000"/>
        </w:rPr>
        <w:t>颗粒；果蝇的极质；两栖类生殖质）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渐成说</w:t>
      </w:r>
      <w:r>
        <w:rPr>
          <w:rFonts w:hint="eastAsia" w:ascii="Times New Roman" w:hAnsi="Times New Roman" w:cs="Times New Roman"/>
          <w:color w:val="FF0000"/>
        </w:rPr>
        <w:t>：由体细胞分化而来。是通过相邻器官原基的诱发和/或在环境因素影响下使局部细胞分化为生殖细胞。如小鼠中</w:t>
      </w:r>
      <w:r>
        <w:rPr>
          <w:rFonts w:ascii="Times New Roman" w:hAnsi="Times New Roman" w:cs="Times New Roman"/>
          <w:color w:val="FF0000"/>
        </w:rPr>
        <w:t>The expression of Bmp4 and Bmp8b  in the extra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FF0000"/>
        </w:rPr>
        <w:t>embryonic ectoderm</w:t>
      </w:r>
      <w:r>
        <w:rPr>
          <w:rFonts w:hint="eastAsia" w:ascii="Times New Roman" w:hAnsi="Times New Roman" w:cs="Times New Roman"/>
          <w:color w:val="FF0000"/>
        </w:rPr>
        <w:t>（胚外外胚层）</w:t>
      </w:r>
      <w:r>
        <w:rPr>
          <w:rFonts w:ascii="Times New Roman" w:hAnsi="Times New Roman" w:cs="Times New Roman"/>
          <w:color w:val="FF0000"/>
        </w:rPr>
        <w:t>, and Bmp2 in the endoderm</w:t>
      </w:r>
      <w:r>
        <w:rPr>
          <w:rFonts w:hint="eastAsia" w:ascii="Times New Roman" w:hAnsi="Times New Roman" w:cs="Times New Roman"/>
          <w:color w:val="FF0000"/>
        </w:rPr>
        <w:t>（内胚层）</w:t>
      </w:r>
      <w:r>
        <w:rPr>
          <w:rFonts w:ascii="Times New Roman" w:hAnsi="Times New Roman" w:cs="Times New Roman"/>
          <w:color w:val="FF0000"/>
        </w:rPr>
        <w:t>, is required for the induction of germ cell fate among proximal epiblast cells</w:t>
      </w:r>
      <w:r>
        <w:rPr>
          <w:rFonts w:hint="eastAsia" w:ascii="Times New Roman" w:hAnsi="Times New Roman" w:cs="Times New Roman"/>
          <w:color w:val="FF0000"/>
        </w:rPr>
        <w:t>（近端外胚层细胞）</w:t>
      </w:r>
      <w:r>
        <w:rPr>
          <w:rFonts w:ascii="Times New Roman" w:hAnsi="Times New Roman" w:cs="Times New Roman"/>
          <w:color w:val="FF0000"/>
        </w:rPr>
        <w:t>.</w:t>
      </w:r>
    </w:p>
    <w:p>
      <w:pPr>
        <w:rPr>
          <w:rFonts w:ascii="Times New Roman" w:hAnsi="Times New Roman" w:cs="Times New Roman"/>
          <w:highlight w:val="gree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3:</w:t>
      </w:r>
      <w:r>
        <w:rPr>
          <w:rFonts w:hint="eastAsia" w:ascii="Times New Roman" w:hAnsi="Times New Roman" w:cs="Times New Roman"/>
          <w:b/>
          <w:bCs/>
        </w:rPr>
        <w:t xml:space="preserve"> 5分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generalization can be applied to the pole plasm of Drosophila, the P-granules of C. elegans, the yolk-free vegetal cytoplasm of Xenopus, and the localized mRNA for vasa in zebrafish?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 All mark the posterior end of the antero-posterior axis.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b) All are present at fertilization in the vegetal pole of the egg.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c) All are determinants that specify the dorso-ventral axis of the fertilized egg.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green"/>
        </w:rPr>
        <w:t>d) All mark the special region of cytoplasm, the germplasm, that is involved in specification of germ cells.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e) All are different names for the cells that become the germ cells of the adult animal.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4:</w:t>
      </w:r>
      <w:r>
        <w:rPr>
          <w:rFonts w:hint="eastAsia" w:ascii="Times New Roman" w:hAnsi="Times New Roman" w:cs="Times New Roman"/>
          <w:b/>
          <w:bCs/>
        </w:rPr>
        <w:t xml:space="preserve"> 15分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According to the description in the literature, compare the two figures and answer the following questions.</w:t>
      </w:r>
    </w:p>
    <w:p>
      <w:r>
        <w:drawing>
          <wp:inline distT="0" distB="0" distL="114300" distR="114300">
            <wp:extent cx="22263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935" cy="213868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method is used in the two figures?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Immunofluorescence (left), In-situ hybridization (right)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Fluorescence in situ hybridization (left), Immunohistochemistry (right)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Immunofluorescence (left), Whole embryo immunohistochemistry (right)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Fluorescence in situ hybridization (left), Whole embryo in-situ hybridization (right)</w:t>
      </w:r>
    </w:p>
    <w:p>
      <w:pPr>
        <w:ind w:left="315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What is the meaning of blue and pink signals in the left figure? </w:t>
      </w:r>
    </w:p>
    <w:p>
      <w:pPr>
        <w:rPr>
          <w:rFonts w:hint="eastAsia" w:ascii="Times New Roman" w:hAnsi="Times New Roman" w:cs="Times New Roman" w:eastAsiaTheme="minorEastAsia"/>
          <w:highlight w:val="green"/>
          <w:lang w:eastAsia="zh-CN"/>
        </w:rPr>
      </w:pPr>
      <w:r>
        <w:rPr>
          <w:rFonts w:hint="eastAsia"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highlight w:val="green"/>
        </w:rPr>
        <w:t>Blue: 细胞核</w:t>
      </w:r>
      <w:r>
        <w:rPr>
          <w:rFonts w:hint="eastAsia" w:ascii="Times New Roman" w:hAnsi="Times New Roman" w:cs="Times New Roman"/>
          <w:highlight w:val="green"/>
          <w:lang w:eastAsia="zh-CN"/>
        </w:rPr>
        <w:t>（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DAPI染核</w:t>
      </w:r>
      <w:r>
        <w:rPr>
          <w:rFonts w:hint="eastAsia" w:ascii="Times New Roman" w:hAnsi="Times New Roman" w:cs="Times New Roman"/>
          <w:highlight w:val="green"/>
          <w:lang w:eastAsia="zh-CN"/>
        </w:rPr>
        <w:t>）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  Pink: vasa protein</w:t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Describe the results of the two figures respectively (especially location of vasa).</w:t>
      </w:r>
    </w:p>
    <w:p>
      <w:pPr>
        <w:rPr>
          <w:rFonts w:hint="default" w:ascii="Times New Roman" w:hAnsi="Times New Roman" w:cs="Times New Roman" w:eastAsiaTheme="minorEastAsia"/>
          <w:highlight w:val="green"/>
          <w:lang w:val="en-US" w:eastAsia="zh-CN"/>
        </w:rPr>
      </w:pPr>
      <w:r>
        <w:rPr>
          <w:rFonts w:hint="eastAsia"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  <w:highlight w:val="green"/>
        </w:rPr>
        <w:t>Left: 该图为双荧光合并的图，表明只有少数细胞为PGCs（pink signal）, 且vasa定位在细胞核</w:t>
      </w:r>
      <w:r>
        <w:rPr>
          <w:rFonts w:hint="eastAsia" w:ascii="Times New Roman" w:hAnsi="Times New Roman" w:cs="Times New Roman"/>
          <w:highlight w:val="green"/>
          <w:lang w:eastAsia="zh-CN"/>
        </w:rPr>
        <w:t>（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蓝色信号和红色信号重合</w:t>
      </w:r>
      <w:r>
        <w:rPr>
          <w:rFonts w:hint="eastAsia" w:ascii="Times New Roman" w:hAnsi="Times New Roman" w:cs="Times New Roman"/>
          <w:highlight w:val="green"/>
          <w:lang w:eastAsia="zh-CN"/>
        </w:rPr>
        <w:t>）</w:t>
      </w:r>
      <w:r>
        <w:rPr>
          <w:rFonts w:hint="eastAsia" w:ascii="Times New Roman" w:hAnsi="Times New Roman" w:cs="Times New Roman"/>
          <w:highlight w:val="green"/>
        </w:rPr>
        <w:t>。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甲壳类</w:t>
      </w:r>
      <w:r>
        <w:rPr>
          <w:rFonts w:hint="eastAsia" w:ascii="Times New Roman" w:hAnsi="Times New Roman" w:cs="Times New Roman"/>
          <w:i/>
          <w:iCs/>
          <w:color w:val="FF0000"/>
          <w:lang w:val="en-US" w:eastAsia="zh-CN"/>
        </w:rPr>
        <w:t>Parhyale hawaiensis</w:t>
      </w:r>
      <w:r>
        <w:rPr>
          <w:rFonts w:hint="eastAsia" w:ascii="Times New Roman" w:hAnsi="Times New Roman" w:cs="Times New Roman"/>
          <w:i w:val="0"/>
          <w:iCs w:val="0"/>
          <w:color w:val="FF0000"/>
          <w:lang w:val="en-US" w:eastAsia="zh-CN"/>
        </w:rPr>
        <w:t>胚胎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  Right: vasa 标记的PGCs定位在胚胎后极。</w:t>
      </w:r>
      <w:r>
        <w:rPr>
          <w:rFonts w:hint="eastAsia" w:ascii="Times New Roman" w:hAnsi="Times New Roman" w:cs="Times New Roman"/>
          <w:color w:val="FF0000"/>
        </w:rPr>
        <w:t>果蝇整胚</w:t>
      </w:r>
    </w:p>
    <w:p>
      <w:pPr>
        <w:rPr>
          <w:rFonts w:ascii="Times New Roman" w:hAnsi="Times New Roman" w:cs="Times New Roman"/>
        </w:rPr>
      </w:pPr>
      <w:bookmarkStart w:id="4" w:name="_GoBack"/>
      <w:bookmarkEnd w:id="4"/>
    </w:p>
    <w:p>
      <w:pPr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扩展解析：</w:t>
      </w:r>
    </w:p>
    <w:p>
      <w:pPr>
        <w:ind w:firstLine="420"/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免疫荧光与免疫组化的异同：原理相同，最后的显色方法不一样，观察所用的显微镜不一样。</w:t>
      </w:r>
    </w:p>
    <w:p>
      <w:pPr>
        <w:ind w:firstLine="420"/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切片免疫荧光/组化与整体胚胎免疫荧光/组化的异同：原理相同，样品处理方式不同，前者可显示亚细胞定位，后者只可显示组织部位定位。</w:t>
      </w:r>
    </w:p>
    <w:p>
      <w:pPr>
        <w:ind w:firstLine="420"/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highlight w:val="yellow"/>
        </w:rPr>
        <w:t>免疫荧光与原位杂交的差异：原理不同，前者用抗体检测蛋白，后者用探针检测核酸。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hint="eastAsia"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hint="eastAsia" w:ascii="Times New Roman" w:hAnsi="Times New Roman" w:cs="Times New Roman"/>
          <w:b/>
          <w:bCs/>
        </w:rPr>
        <w:t xml:space="preserve"> 10分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Translate the following terms into Chinese.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epigenesis and preformation    </w:t>
      </w:r>
      <w:r>
        <w:rPr>
          <w:rFonts w:hint="eastAsia" w:ascii="Times New Roman" w:hAnsi="Times New Roman" w:cs="Times New Roman"/>
          <w:highlight w:val="green"/>
        </w:rPr>
        <w:t>渐成说、先成说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oogonia and spermatogonia  </w:t>
      </w:r>
      <w:r>
        <w:rPr>
          <w:rFonts w:hint="eastAsia" w:ascii="Times New Roman" w:hAnsi="Times New Roman" w:cs="Times New Roman"/>
          <w:highlight w:val="green"/>
        </w:rPr>
        <w:t>卵原细胞、精原细胞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oocyte and spermatocyte   </w:t>
      </w:r>
      <w:r>
        <w:rPr>
          <w:rFonts w:hint="eastAsia" w:ascii="Times New Roman" w:hAnsi="Times New Roman" w:cs="Times New Roman"/>
          <w:highlight w:val="green"/>
        </w:rPr>
        <w:t>卵母细胞、精母细胞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Gametogenesis   </w:t>
      </w:r>
      <w:r>
        <w:rPr>
          <w:rFonts w:hint="eastAsia" w:ascii="Times New Roman" w:hAnsi="Times New Roman" w:cs="Times New Roman"/>
          <w:highlight w:val="green"/>
        </w:rPr>
        <w:t>配子发生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Primordial germ cells    </w:t>
      </w:r>
      <w:r>
        <w:rPr>
          <w:rFonts w:hint="eastAsia" w:ascii="Times New Roman" w:hAnsi="Times New Roman" w:cs="Times New Roman"/>
          <w:highlight w:val="green"/>
        </w:rPr>
        <w:t>原始生殖细胞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cytoplasmic determinant      </w:t>
      </w:r>
      <w:r>
        <w:rPr>
          <w:rFonts w:hint="eastAsia" w:ascii="Times New Roman" w:hAnsi="Times New Roman" w:cs="Times New Roman"/>
          <w:highlight w:val="green"/>
        </w:rPr>
        <w:t>胞质决定子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cytoplasmic bridge  </w:t>
      </w:r>
      <w:r>
        <w:rPr>
          <w:rFonts w:hint="eastAsia" w:ascii="Times New Roman" w:hAnsi="Times New Roman" w:cs="Times New Roman"/>
          <w:highlight w:val="green"/>
        </w:rPr>
        <w:t>细胞质桥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progenitor cell     </w:t>
      </w:r>
      <w:r>
        <w:rPr>
          <w:rFonts w:hint="eastAsia" w:ascii="Times New Roman" w:hAnsi="Times New Roman" w:cs="Times New Roman"/>
          <w:highlight w:val="green"/>
        </w:rPr>
        <w:t>祖细胞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gonad primordia     </w:t>
      </w:r>
      <w:r>
        <w:rPr>
          <w:rFonts w:hint="eastAsia" w:ascii="Times New Roman" w:hAnsi="Times New Roman" w:cs="Times New Roman"/>
          <w:highlight w:val="green"/>
        </w:rPr>
        <w:t>生殖腺原基</w:t>
      </w:r>
    </w:p>
    <w:p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cleavage furrow     </w:t>
      </w:r>
      <w:r>
        <w:rPr>
          <w:rFonts w:hint="eastAsia" w:ascii="Times New Roman" w:hAnsi="Times New Roman" w:cs="Times New Roman"/>
          <w:highlight w:val="green"/>
        </w:rPr>
        <w:t>分裂沟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</w:t>
      </w:r>
      <w:r>
        <w:rPr>
          <w:rFonts w:hint="eastAsia" w:ascii="Times New Roman" w:hAnsi="Times New Roman" w:cs="Times New Roman"/>
          <w:b/>
          <w:bCs/>
        </w:rPr>
        <w:t xml:space="preserve"> 6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hint="eastAsia" w:ascii="Times New Roman" w:hAnsi="Times New Roman" w:cs="Times New Roman"/>
          <w:b/>
          <w:bCs/>
        </w:rPr>
        <w:t xml:space="preserve"> 10分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careful reading, please tell me your own opinion on the mechanism of germ cell specification across the metazoans and provide the supporting evidences.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>针对Figure 3总结。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Conclusion：epigenesis is probably the basal mode of germ cell specification for the </w:t>
      </w:r>
      <w:bookmarkStart w:id="0" w:name="_Hlk34317646"/>
      <w:r>
        <w:rPr>
          <w:rFonts w:hint="eastAsia" w:ascii="Times New Roman" w:hAnsi="Times New Roman" w:cs="Times New Roman"/>
          <w:highlight w:val="green"/>
        </w:rPr>
        <w:t>Metazoa</w:t>
      </w:r>
      <w:bookmarkEnd w:id="0"/>
      <w:r>
        <w:rPr>
          <w:rFonts w:hint="eastAsia" w:ascii="Times New Roman" w:hAnsi="Times New Roman" w:cs="Times New Roman"/>
          <w:highlight w:val="green"/>
        </w:rPr>
        <w:t>.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Evidences: </w:t>
      </w:r>
    </w:p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1. </w:t>
      </w:r>
      <w:r>
        <w:rPr>
          <w:rFonts w:ascii="Times New Roman" w:hAnsi="Times New Roman" w:cs="Times New Roman"/>
          <w:highlight w:val="green"/>
        </w:rPr>
        <w:t>preformation</w:t>
      </w:r>
      <w:r>
        <w:rPr>
          <w:rFonts w:hint="eastAsia" w:ascii="Times New Roman" w:hAnsi="Times New Roman" w:cs="Times New Roman"/>
          <w:highlight w:val="green"/>
        </w:rPr>
        <w:t>：</w:t>
      </w:r>
      <w:r>
        <w:rPr>
          <w:rFonts w:ascii="Times New Roman" w:hAnsi="Times New Roman" w:cs="Times New Roman"/>
          <w:highlight w:val="green"/>
        </w:rPr>
        <w:t>the germ line</w:t>
      </w:r>
      <w:r>
        <w:rPr>
          <w:rFonts w:hint="eastAsia"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>is immortal and continuous from generation to generation</w:t>
      </w:r>
      <w:r>
        <w:rPr>
          <w:rFonts w:hint="eastAsia" w:ascii="Times New Roman" w:hAnsi="Times New Roman" w:cs="Times New Roman"/>
          <w:highlight w:val="green"/>
        </w:rPr>
        <w:t>. O</w:t>
      </w:r>
      <w:r>
        <w:rPr>
          <w:rFonts w:ascii="Times New Roman" w:hAnsi="Times New Roman" w:cs="Times New Roman"/>
          <w:highlight w:val="green"/>
        </w:rPr>
        <w:t>nly three cases are entire</w:t>
      </w:r>
      <w:r>
        <w:rPr>
          <w:rFonts w:hint="eastAsia"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>phyla characterised by germ plasm-driven PGC specification</w:t>
      </w:r>
      <w:r>
        <w:rPr>
          <w:rFonts w:hint="eastAsia"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>(</w:t>
      </w:r>
      <w:bookmarkStart w:id="1" w:name="_Hlk34317625"/>
      <w:r>
        <w:rPr>
          <w:rFonts w:ascii="Times New Roman" w:hAnsi="Times New Roman" w:cs="Times New Roman"/>
          <w:highlight w:val="green"/>
        </w:rPr>
        <w:t>rotifers, nematodes and chaetognaths</w:t>
      </w:r>
      <w:bookmarkEnd w:id="1"/>
      <w:r>
        <w:rPr>
          <w:rFonts w:ascii="Times New Roman" w:hAnsi="Times New Roman" w:cs="Times New Roman"/>
          <w:highlight w:val="green"/>
        </w:rPr>
        <w:t>), and none of these</w:t>
      </w:r>
      <w:r>
        <w:rPr>
          <w:rFonts w:hint="eastAsia"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>phyla can be considered to be basal to the Metazoa</w:t>
      </w:r>
      <w:r>
        <w:rPr>
          <w:rFonts w:hint="eastAsia" w:ascii="Times New Roman" w:hAnsi="Times New Roman" w:cs="Times New Roman"/>
          <w:highlight w:val="green"/>
        </w:rPr>
        <w:t xml:space="preserve">. </w:t>
      </w:r>
      <w:bookmarkStart w:id="2" w:name="_Hlk34318383"/>
      <w:r>
        <w:rPr>
          <w:rFonts w:hint="eastAsia" w:ascii="Times New Roman" w:hAnsi="Times New Roman" w:cs="Times New Roman"/>
          <w:highlight w:val="green"/>
        </w:rPr>
        <w:t>Other clades that show PGC segregation via preformation (e.g. dipteran insects, anuran amphibians, archosaurian reptiles) are derived lineages within phyla for which epigenetic specification is likely to be a basal mechanism.</w:t>
      </w:r>
    </w:p>
    <w:bookmarkEnd w:id="2"/>
    <w:p>
      <w:pPr>
        <w:rPr>
          <w:rFonts w:ascii="Times New Roman" w:hAnsi="Times New Roman" w:cs="Times New Roman"/>
          <w:highlight w:val="green"/>
        </w:rPr>
      </w:pPr>
      <w:r>
        <w:rPr>
          <w:rFonts w:hint="eastAsia" w:ascii="Times New Roman" w:hAnsi="Times New Roman" w:cs="Times New Roman"/>
          <w:highlight w:val="green"/>
        </w:rPr>
        <w:t xml:space="preserve">2. epigenesis: </w:t>
      </w:r>
      <w:r>
        <w:rPr>
          <w:rFonts w:ascii="Times New Roman" w:hAnsi="Times New Roman" w:cs="Times New Roman"/>
          <w:highlight w:val="green"/>
        </w:rPr>
        <w:t>PGCs can be</w:t>
      </w:r>
      <w:r>
        <w:rPr>
          <w:rFonts w:hint="eastAsia" w:ascii="Times New Roman" w:hAnsi="Times New Roman" w:cs="Times New Roman"/>
          <w:highlight w:val="green"/>
        </w:rPr>
        <w:t xml:space="preserve"> </w:t>
      </w:r>
      <w:r>
        <w:rPr>
          <w:rFonts w:ascii="Times New Roman" w:hAnsi="Times New Roman" w:cs="Times New Roman"/>
          <w:highlight w:val="green"/>
        </w:rPr>
        <w:t>segregated at almost any point during embryogenesis</w:t>
      </w:r>
      <w:r>
        <w:rPr>
          <w:rFonts w:hint="eastAsia" w:ascii="Times New Roman" w:hAnsi="Times New Roman" w:cs="Times New Roman"/>
          <w:highlight w:val="green"/>
        </w:rPr>
        <w:t xml:space="preserve"> in most animals, including all animals basal to the Bilateria. But the specific molecular mechanisms used for inductive signaling are unlikely to be the same in all cases.</w:t>
      </w:r>
    </w:p>
    <w:p>
      <w:pPr>
        <w:rPr>
          <w:rFonts w:ascii="Times New Roman" w:hAnsi="Times New Roman" w:cs="Times New Roman"/>
          <w:highlight w:val="green"/>
        </w:rPr>
      </w:pPr>
      <w:r>
        <w:drawing>
          <wp:inline distT="0" distB="0" distL="0" distR="0">
            <wp:extent cx="3070860" cy="381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7932" t="30180" r="43294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075824" cy="38222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从上图也可以得知，后生动物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</w:rPr>
        <w:t>Metazoa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</w:rPr>
        <w:t>中无论原口动物(</w:t>
      </w:r>
      <w:r>
        <w:rPr>
          <w:rFonts w:ascii="Times New Roman" w:hAnsi="Times New Roman" w:cs="Times New Roman"/>
        </w:rPr>
        <w:t>protostomes)</w:t>
      </w:r>
      <w:r>
        <w:rPr>
          <w:rFonts w:hint="eastAsia" w:ascii="Times New Roman" w:hAnsi="Times New Roman" w:cs="Times New Roman"/>
        </w:rPr>
        <w:t>还是后口动物(</w:t>
      </w:r>
      <w:r>
        <w:rPr>
          <w:rFonts w:ascii="Times New Roman" w:hAnsi="Times New Roman" w:cs="Times New Roman"/>
        </w:rPr>
        <w:t>deuterostomes)</w:t>
      </w:r>
      <w:r>
        <w:rPr>
          <w:rFonts w:hint="eastAsia" w:ascii="Times New Roman" w:hAnsi="Times New Roman" w:cs="Times New Roman"/>
        </w:rPr>
        <w:t>大类群中，</w:t>
      </w:r>
      <w:r>
        <w:rPr>
          <w:rFonts w:hint="eastAsia" w:ascii="Times New Roman" w:hAnsi="Times New Roman" w:cs="Times New Roman"/>
          <w:color w:val="FF0000"/>
        </w:rPr>
        <w:t>渐成说（红色）</w:t>
      </w:r>
      <w:r>
        <w:rPr>
          <w:rFonts w:hint="eastAsia" w:ascii="Times New Roman" w:hAnsi="Times New Roman" w:cs="Times New Roman"/>
        </w:rPr>
        <w:t>较</w:t>
      </w:r>
      <w:bookmarkStart w:id="3" w:name="_Hlk34317573"/>
      <w:r>
        <w:rPr>
          <w:rFonts w:hint="eastAsia" w:ascii="Times New Roman" w:hAnsi="Times New Roman" w:cs="Times New Roman"/>
          <w:color w:val="4472C4" w:themeColor="accent5"/>
          <w14:textFill>
            <w14:solidFill>
              <w14:schemeClr w14:val="accent5"/>
            </w14:solidFill>
          </w14:textFill>
        </w:rPr>
        <w:t>先成说（蓝色）</w:t>
      </w:r>
      <w:bookmarkEnd w:id="3"/>
      <w:r>
        <w:rPr>
          <w:rFonts w:hint="eastAsia" w:ascii="Times New Roman" w:hAnsi="Times New Roman" w:cs="Times New Roman"/>
        </w:rPr>
        <w:t>明显占优势。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在占少数的</w:t>
      </w:r>
      <w:r>
        <w:rPr>
          <w:rFonts w:hint="eastAsia" w:ascii="Times New Roman" w:hAnsi="Times New Roman" w:cs="Times New Roman"/>
          <w:color w:val="4472C4" w:themeColor="accent5"/>
          <w14:textFill>
            <w14:solidFill>
              <w14:schemeClr w14:val="accent5"/>
            </w14:solidFill>
          </w14:textFill>
        </w:rPr>
        <w:t>先成说（蓝色）</w:t>
      </w:r>
      <w:r>
        <w:rPr>
          <w:rFonts w:hint="eastAsia" w:ascii="Times New Roman" w:hAnsi="Times New Roman" w:cs="Times New Roman"/>
        </w:rPr>
        <w:t>数据中，只有</w:t>
      </w:r>
      <w:r>
        <w:rPr>
          <w:rFonts w:ascii="Times New Roman" w:hAnsi="Times New Roman" w:cs="Times New Roman"/>
        </w:rPr>
        <w:t>rotifers</w:t>
      </w:r>
      <w:r>
        <w:rPr>
          <w:rFonts w:hint="eastAsia" w:ascii="Times New Roman" w:hAnsi="Times New Roman" w:cs="Times New Roman"/>
        </w:rPr>
        <w:t>轮虫动物门</w:t>
      </w:r>
      <w:r>
        <w:rPr>
          <w:rFonts w:ascii="Times New Roman" w:hAnsi="Times New Roman" w:cs="Times New Roman"/>
        </w:rPr>
        <w:t>, nematodes</w:t>
      </w:r>
      <w:r>
        <w:rPr>
          <w:rFonts w:hint="eastAsia" w:ascii="Times New Roman" w:hAnsi="Times New Roman" w:cs="Times New Roman"/>
        </w:rPr>
        <w:t>线形动物门</w:t>
      </w:r>
      <w:r>
        <w:rPr>
          <w:rFonts w:ascii="Times New Roman" w:hAnsi="Times New Roman" w:cs="Times New Roman"/>
        </w:rPr>
        <w:t xml:space="preserve"> and chaetognaths</w:t>
      </w:r>
      <w:r>
        <w:rPr>
          <w:rFonts w:hint="eastAsia" w:ascii="Times New Roman" w:hAnsi="Times New Roman" w:cs="Times New Roman"/>
        </w:rPr>
        <w:t>毛颚类动物整个动物门的都是先成说观点，但它们只是后生动物中极小一些分支。其它双翅目昆虫、无尾两栖类、古蜥爬行类动物虽然它们本身已先成说为主，但它们所处的大类动物门更倾向于渐成说。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后生动物中两侧对称动物占据主导分枝，该文中也明确指出，大部分的两侧对称动物遵循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渐</w:t>
      </w:r>
      <w:r>
        <w:rPr>
          <w:rFonts w:hint="eastAsia" w:ascii="Times New Roman" w:hAnsi="Times New Roman" w:cs="Times New Roman"/>
          <w:color w:val="FF0000"/>
        </w:rPr>
        <w:t>成说</w:t>
      </w:r>
      <w:r>
        <w:rPr>
          <w:rFonts w:hint="eastAsia" w:ascii="Times New Roman" w:hAnsi="Times New Roman" w:cs="Times New Roma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5EAC"/>
    <w:multiLevelType w:val="singleLevel"/>
    <w:tmpl w:val="12125EAC"/>
    <w:lvl w:ilvl="0" w:tentative="0">
      <w:start w:val="1"/>
      <w:numFmt w:val="lowerLetter"/>
      <w:suff w:val="space"/>
      <w:lvlText w:val="%1."/>
      <w:lvlJc w:val="left"/>
      <w:pPr>
        <w:ind w:left="315" w:firstLine="0"/>
      </w:pPr>
    </w:lvl>
  </w:abstractNum>
  <w:abstractNum w:abstractNumId="1">
    <w:nsid w:val="1C5FC900"/>
    <w:multiLevelType w:val="singleLevel"/>
    <w:tmpl w:val="1C5FC9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BB9280"/>
    <w:multiLevelType w:val="singleLevel"/>
    <w:tmpl w:val="7EBB928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73EEC"/>
    <w:rsid w:val="000704A5"/>
    <w:rsid w:val="00071BEF"/>
    <w:rsid w:val="001261CE"/>
    <w:rsid w:val="001372D8"/>
    <w:rsid w:val="00154AC5"/>
    <w:rsid w:val="00170690"/>
    <w:rsid w:val="0018378C"/>
    <w:rsid w:val="0026695A"/>
    <w:rsid w:val="002E14C8"/>
    <w:rsid w:val="003258B9"/>
    <w:rsid w:val="00353072"/>
    <w:rsid w:val="0039287E"/>
    <w:rsid w:val="004F6DED"/>
    <w:rsid w:val="0050780D"/>
    <w:rsid w:val="00520B91"/>
    <w:rsid w:val="00550297"/>
    <w:rsid w:val="007F65CB"/>
    <w:rsid w:val="008116EE"/>
    <w:rsid w:val="008464F2"/>
    <w:rsid w:val="008E250B"/>
    <w:rsid w:val="009F4AC7"/>
    <w:rsid w:val="00A257FE"/>
    <w:rsid w:val="00AB020E"/>
    <w:rsid w:val="00B95144"/>
    <w:rsid w:val="00C6449A"/>
    <w:rsid w:val="00C65EC3"/>
    <w:rsid w:val="00CF78CC"/>
    <w:rsid w:val="00D4378A"/>
    <w:rsid w:val="00FA59A9"/>
    <w:rsid w:val="00FC5755"/>
    <w:rsid w:val="0D3F5CB6"/>
    <w:rsid w:val="137D0EAF"/>
    <w:rsid w:val="1B9B2F24"/>
    <w:rsid w:val="2DC853FA"/>
    <w:rsid w:val="3C56566D"/>
    <w:rsid w:val="403B4B46"/>
    <w:rsid w:val="41C27B8D"/>
    <w:rsid w:val="436122E9"/>
    <w:rsid w:val="44A3720F"/>
    <w:rsid w:val="455B5387"/>
    <w:rsid w:val="487132B7"/>
    <w:rsid w:val="57573EEC"/>
    <w:rsid w:val="5A443EA8"/>
    <w:rsid w:val="5FB612D2"/>
    <w:rsid w:val="78273516"/>
    <w:rsid w:val="79C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批注框文本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621</Words>
  <Characters>3543</Characters>
  <DocSecurity>0</DocSecurity>
  <Lines>29</Lines>
  <Paragraphs>8</Paragraphs>
  <ScaleCrop>false</ScaleCrop>
  <LinksUpToDate>false</LinksUpToDate>
  <CharactersWithSpaces>4156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2020-02-19T02:44:00Z</dcterms:created>
  <dcterms:modified xsi:type="dcterms:W3CDTF">2020-03-06T05:53:26Z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