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 w:rsidR="00D5770C" w:rsidRPr="00E11698" w:rsidP="00E11698" w14:paraId="17BA3C29" w14:textId="7090DB2A">
      <w:pPr>
        <w:snapToGrid w:val="0"/>
        <w:spacing w:line="360" w:lineRule="auto"/>
        <w:jc w:val="center"/>
        <w:rPr>
          <w:rFonts w:hint="eastAsia"/>
          <w:b/>
          <w:sz w:val="36"/>
        </w:rPr>
      </w:pPr>
      <w:r w:rsidRPr="00437345">
        <w:rPr>
          <w:rFonts w:hint="eastAsia"/>
          <w:b/>
          <w:sz w:val="36"/>
        </w:rPr>
        <w:t>生物信息学上机实验</w:t>
      </w:r>
    </w:p>
    <w:p w:rsidR="00D5770C" w:rsidRPr="002F40A4" w:rsidP="00D5770C" w14:paraId="18268AD3" w14:textId="77777777">
      <w:pPr>
        <w:snapToGrid w:val="0"/>
        <w:spacing w:line="360" w:lineRule="auto"/>
        <w:jc w:val="center"/>
        <w:rPr>
          <w:b/>
          <w:sz w:val="32"/>
          <w:szCs w:val="32"/>
        </w:rPr>
      </w:pPr>
      <w:r w:rsidRPr="002F40A4">
        <w:rPr>
          <w:rFonts w:hint="eastAsia"/>
          <w:b/>
          <w:sz w:val="32"/>
          <w:szCs w:val="32"/>
        </w:rPr>
        <w:t>实验</w:t>
      </w:r>
      <w:r w:rsidRPr="002F40A4">
        <w:rPr>
          <w:rFonts w:hint="eastAsia"/>
          <w:b/>
          <w:sz w:val="32"/>
          <w:szCs w:val="32"/>
        </w:rPr>
        <w:t>4</w:t>
      </w:r>
      <w:r w:rsidRPr="002F40A4">
        <w:rPr>
          <w:b/>
          <w:sz w:val="32"/>
          <w:szCs w:val="32"/>
        </w:rPr>
        <w:t xml:space="preserve">  </w:t>
      </w:r>
      <w:r w:rsidRPr="002F40A4">
        <w:rPr>
          <w:b/>
          <w:sz w:val="32"/>
          <w:szCs w:val="32"/>
        </w:rPr>
        <w:t>蛋白质序列特征分析</w:t>
      </w:r>
    </w:p>
    <w:p w:rsidR="00D5770C" w:rsidRPr="0049313A" w:rsidP="00D5770C" w14:paraId="19A86D89" w14:textId="77777777">
      <w:pPr>
        <w:spacing w:line="360" w:lineRule="auto"/>
        <w:rPr>
          <w:sz w:val="24"/>
        </w:rPr>
      </w:pPr>
      <w:r w:rsidRPr="0049313A">
        <w:rPr>
          <w:b/>
          <w:sz w:val="24"/>
        </w:rPr>
        <w:t>实验目的：</w:t>
      </w:r>
    </w:p>
    <w:p w:rsidR="00D5770C" w:rsidRPr="0049313A" w:rsidP="00D5770C" w14:paraId="6D7EF30A" w14:textId="77777777">
      <w:pPr>
        <w:spacing w:line="360" w:lineRule="auto"/>
        <w:ind w:firstLine="480" w:firstLineChars="200"/>
        <w:rPr>
          <w:color w:val="000000"/>
          <w:kern w:val="0"/>
          <w:sz w:val="24"/>
        </w:rPr>
      </w:pPr>
      <w:r w:rsidRPr="0049313A">
        <w:rPr>
          <w:sz w:val="24"/>
        </w:rPr>
        <w:t>掌握</w:t>
      </w:r>
      <w:r w:rsidRPr="0049313A">
        <w:rPr>
          <w:rFonts w:hAnsi="宋体"/>
          <w:color w:val="000000"/>
          <w:kern w:val="0"/>
          <w:sz w:val="24"/>
        </w:rPr>
        <w:t>蛋白质序列检索的操作方法，熟悉蛋白质基本性质分析，了解蛋白质结构分析和预测。</w:t>
      </w:r>
    </w:p>
    <w:p w:rsidR="00D5770C" w:rsidRPr="0049313A" w:rsidP="00D5770C" w14:paraId="3A3EB168" w14:textId="77777777">
      <w:pPr>
        <w:spacing w:line="360" w:lineRule="auto"/>
        <w:rPr>
          <w:b/>
          <w:color w:val="000000"/>
          <w:kern w:val="0"/>
          <w:sz w:val="24"/>
        </w:rPr>
      </w:pPr>
      <w:r w:rsidRPr="0049313A">
        <w:rPr>
          <w:rFonts w:hAnsi="宋体"/>
          <w:b/>
          <w:color w:val="000000"/>
          <w:kern w:val="0"/>
          <w:sz w:val="24"/>
        </w:rPr>
        <w:t>实验内容：</w:t>
      </w:r>
    </w:p>
    <w:p w:rsidR="00D5770C" w:rsidP="00D5770C" w14:paraId="1228B67B" w14:textId="77777777">
      <w:pPr>
        <w:numPr>
          <w:ilvl w:val="0"/>
          <w:numId w:val="1"/>
        </w:numPr>
        <w:snapToGrid w:val="0"/>
        <w:spacing w:line="360" w:lineRule="auto"/>
        <w:ind w:left="483" w:leftChars="30"/>
        <w:rPr>
          <w:rFonts w:hAnsi="宋体"/>
          <w:color w:val="000000"/>
          <w:kern w:val="0"/>
          <w:sz w:val="24"/>
        </w:rPr>
      </w:pPr>
      <w:r w:rsidRPr="0049313A">
        <w:rPr>
          <w:rFonts w:hAnsi="宋体"/>
          <w:color w:val="000000"/>
          <w:kern w:val="0"/>
          <w:sz w:val="24"/>
        </w:rPr>
        <w:t>通过</w:t>
      </w:r>
      <w:r w:rsidRPr="0049313A">
        <w:rPr>
          <w:rFonts w:hAnsi="宋体"/>
          <w:color w:val="000000"/>
          <w:kern w:val="0"/>
          <w:sz w:val="24"/>
        </w:rPr>
        <w:t>NCBI</w:t>
      </w:r>
      <w:r w:rsidRPr="0049313A">
        <w:rPr>
          <w:rFonts w:hAnsi="宋体"/>
          <w:color w:val="000000"/>
          <w:kern w:val="0"/>
          <w:sz w:val="24"/>
        </w:rPr>
        <w:t>生物信息网站</w:t>
      </w:r>
      <w:r w:rsidRPr="0049313A">
        <w:rPr>
          <w:rFonts w:hAnsi="宋体" w:hint="eastAsia"/>
          <w:color w:val="000000"/>
          <w:kern w:val="0"/>
          <w:sz w:val="24"/>
        </w:rPr>
        <w:t>检索人（</w:t>
      </w:r>
      <w:r w:rsidRPr="0049313A">
        <w:rPr>
          <w:sz w:val="24"/>
        </w:rPr>
        <w:t>Homo sapiens</w:t>
      </w:r>
      <w:r w:rsidRPr="0049313A">
        <w:rPr>
          <w:rFonts w:hAnsi="宋体" w:hint="eastAsia"/>
          <w:color w:val="000000"/>
          <w:kern w:val="0"/>
          <w:sz w:val="24"/>
        </w:rPr>
        <w:t>）、</w:t>
      </w:r>
      <w:r w:rsidRPr="00F844E7">
        <w:rPr>
          <w:rFonts w:hint="eastAsia"/>
          <w:sz w:val="24"/>
        </w:rPr>
        <w:t>爪蟾（</w:t>
      </w:r>
      <w:r w:rsidRPr="00F844E7">
        <w:rPr>
          <w:sz w:val="24"/>
        </w:rPr>
        <w:t>Xenopus laevis</w:t>
      </w:r>
      <w:r w:rsidRPr="00CE247A">
        <w:rPr>
          <w:rFonts w:hint="eastAsia"/>
          <w:sz w:val="24"/>
        </w:rPr>
        <w:t>）</w:t>
      </w:r>
      <w:r w:rsidRPr="0049313A">
        <w:rPr>
          <w:rFonts w:hAnsi="宋体" w:hint="eastAsia"/>
          <w:color w:val="000000"/>
          <w:kern w:val="0"/>
          <w:sz w:val="24"/>
        </w:rPr>
        <w:t>和猕猴（</w:t>
      </w:r>
      <w:r w:rsidRPr="0049313A">
        <w:rPr>
          <w:rFonts w:hAnsi="宋体"/>
          <w:color w:val="000000"/>
          <w:kern w:val="0"/>
          <w:sz w:val="24"/>
        </w:rPr>
        <w:t>Macaca mulatta</w:t>
      </w:r>
      <w:r w:rsidRPr="0049313A">
        <w:rPr>
          <w:rFonts w:hAnsi="宋体"/>
          <w:color w:val="000000"/>
          <w:kern w:val="0"/>
          <w:sz w:val="24"/>
        </w:rPr>
        <w:t>）</w:t>
      </w:r>
      <w:r w:rsidRPr="0049313A">
        <w:rPr>
          <w:rFonts w:hAnsi="宋体" w:hint="eastAsia"/>
          <w:color w:val="000000"/>
          <w:kern w:val="0"/>
          <w:sz w:val="24"/>
        </w:rPr>
        <w:t>的转录因子</w:t>
      </w:r>
      <w:r w:rsidRPr="0049313A">
        <w:rPr>
          <w:rFonts w:hAnsi="宋体" w:hint="eastAsia"/>
          <w:color w:val="000000"/>
          <w:kern w:val="0"/>
          <w:sz w:val="24"/>
        </w:rPr>
        <w:t>SOX-21</w:t>
      </w:r>
      <w:r w:rsidRPr="0049313A">
        <w:rPr>
          <w:rFonts w:hAnsi="宋体" w:hint="eastAsia"/>
          <w:color w:val="000000"/>
          <w:kern w:val="0"/>
          <w:sz w:val="24"/>
        </w:rPr>
        <w:t>蛋白质序列，并保存其</w:t>
      </w:r>
      <w:r w:rsidRPr="0049313A">
        <w:rPr>
          <w:rFonts w:hAnsi="宋体" w:hint="eastAsia"/>
          <w:color w:val="000000"/>
          <w:kern w:val="0"/>
          <w:sz w:val="24"/>
        </w:rPr>
        <w:t>FASTA</w:t>
      </w:r>
      <w:r w:rsidRPr="0049313A">
        <w:rPr>
          <w:rFonts w:hAnsi="宋体" w:hint="eastAsia"/>
          <w:color w:val="000000"/>
          <w:kern w:val="0"/>
          <w:sz w:val="24"/>
        </w:rPr>
        <w:t>格式。</w:t>
      </w:r>
    </w:p>
    <w:p w:rsidR="00D5770C" w:rsidP="00D5770C" w14:paraId="3EED3C0A" w14:textId="77777777">
      <w:pPr>
        <w:snapToGrid w:val="0"/>
        <w:spacing w:line="360" w:lineRule="auto"/>
        <w:ind w:left="483"/>
        <w:rPr>
          <w:sz w:val="24"/>
        </w:rPr>
      </w:pPr>
      <w:r>
        <w:rPr>
          <w:rFonts w:hAnsi="宋体" w:hint="eastAsia"/>
          <w:color w:val="000000"/>
          <w:kern w:val="0"/>
          <w:sz w:val="24"/>
        </w:rPr>
        <w:t>答：</w:t>
      </w:r>
      <w:r w:rsidRPr="0049313A">
        <w:rPr>
          <w:sz w:val="24"/>
        </w:rPr>
        <w:t>Homo sapiens</w:t>
      </w:r>
      <w:r>
        <w:rPr>
          <w:rFonts w:hint="eastAsia"/>
          <w:sz w:val="24"/>
        </w:rPr>
        <w:t>：</w:t>
      </w:r>
    </w:p>
    <w:p w:rsidR="00D5770C" w:rsidP="00D5770C" w14:paraId="2E251DAE" w14:textId="223ABE33">
      <w:pPr>
        <w:snapToGrid w:val="0"/>
        <w:spacing w:line="360" w:lineRule="auto"/>
        <w:ind w:left="483"/>
        <w:rPr>
          <w:rFonts w:hAnsi="宋体"/>
          <w:color w:val="000000"/>
          <w:kern w:val="0"/>
          <w:sz w:val="24"/>
        </w:rPr>
      </w:pPr>
      <w:r w:rsidRPr="009F5615">
        <w:rPr>
          <w:noProof/>
        </w:rPr>
        <w:drawing>
          <wp:inline distT="0" distB="0" distL="0" distR="0">
            <wp:extent cx="4741648" cy="1767840"/>
            <wp:effectExtent l="0" t="0" r="190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47" cy="17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60F07214" w14:textId="77777777">
      <w:pPr>
        <w:snapToGrid w:val="0"/>
        <w:spacing w:line="360" w:lineRule="auto"/>
        <w:ind w:left="483"/>
        <w:rPr>
          <w:sz w:val="24"/>
        </w:rPr>
      </w:pPr>
      <w:r w:rsidRPr="00F844E7">
        <w:rPr>
          <w:sz w:val="24"/>
        </w:rPr>
        <w:t>Xenopus laevis</w:t>
      </w:r>
      <w:r>
        <w:rPr>
          <w:rFonts w:hint="eastAsia"/>
          <w:sz w:val="24"/>
        </w:rPr>
        <w:t>：</w:t>
      </w:r>
    </w:p>
    <w:p w:rsidR="00D5770C" w:rsidP="00D5770C" w14:paraId="03554941" w14:textId="74436802">
      <w:pPr>
        <w:snapToGrid w:val="0"/>
        <w:spacing w:line="360" w:lineRule="auto"/>
        <w:ind w:left="483"/>
        <w:rPr>
          <w:rFonts w:hAnsi="宋体"/>
          <w:color w:val="000000"/>
          <w:kern w:val="0"/>
          <w:sz w:val="24"/>
        </w:rPr>
      </w:pPr>
      <w:r w:rsidRPr="009F5615">
        <w:rPr>
          <w:noProof/>
        </w:rPr>
        <w:drawing>
          <wp:inline distT="0" distB="0" distL="0" distR="0">
            <wp:extent cx="3779520" cy="1417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79E7E9DF" w14:textId="77777777">
      <w:pPr>
        <w:snapToGrid w:val="0"/>
        <w:spacing w:line="360" w:lineRule="auto"/>
        <w:ind w:left="483"/>
        <w:rPr>
          <w:rFonts w:hAnsi="宋体"/>
          <w:color w:val="000000"/>
          <w:kern w:val="0"/>
          <w:sz w:val="24"/>
        </w:rPr>
      </w:pPr>
      <w:r w:rsidRPr="0049313A">
        <w:rPr>
          <w:rFonts w:hAnsi="宋体"/>
          <w:color w:val="000000"/>
          <w:kern w:val="0"/>
          <w:sz w:val="24"/>
        </w:rPr>
        <w:t>Macaca mulatta</w:t>
      </w:r>
      <w:r>
        <w:rPr>
          <w:rFonts w:hAnsi="宋体" w:hint="eastAsia"/>
          <w:color w:val="000000"/>
          <w:kern w:val="0"/>
          <w:sz w:val="24"/>
        </w:rPr>
        <w:t>：</w:t>
      </w:r>
    </w:p>
    <w:p w:rsidR="00D5770C" w:rsidRPr="00A0189F" w:rsidP="00D5770C" w14:paraId="24F76AC2" w14:textId="28344B18">
      <w:pPr>
        <w:snapToGrid w:val="0"/>
        <w:spacing w:line="360" w:lineRule="auto"/>
        <w:ind w:left="483"/>
        <w:rPr>
          <w:rFonts w:hAnsi="宋体"/>
          <w:color w:val="000000"/>
          <w:kern w:val="0"/>
          <w:sz w:val="24"/>
        </w:rPr>
      </w:pPr>
      <w:r w:rsidRPr="009F5615">
        <w:rPr>
          <w:noProof/>
        </w:rPr>
        <w:drawing>
          <wp:inline distT="0" distB="0" distL="0" distR="0">
            <wp:extent cx="3764280" cy="13411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42C7694C" w14:textId="016CCDE4">
      <w:pPr>
        <w:numPr>
          <w:ilvl w:val="0"/>
          <w:numId w:val="1"/>
        </w:numPr>
        <w:snapToGrid w:val="0"/>
        <w:spacing w:line="360" w:lineRule="auto"/>
        <w:ind w:left="483" w:leftChars="30"/>
        <w:rPr>
          <w:sz w:val="24"/>
        </w:rPr>
      </w:pPr>
      <w:r w:rsidRPr="0049313A">
        <w:rPr>
          <w:rFonts w:hAnsi="宋体"/>
          <w:color w:val="000000"/>
          <w:kern w:val="0"/>
          <w:sz w:val="24"/>
        </w:rPr>
        <w:t>利用</w:t>
      </w:r>
      <w:r w:rsidRPr="0049313A">
        <w:rPr>
          <w:rFonts w:hAnsi="宋体"/>
          <w:color w:val="000000"/>
          <w:kern w:val="0"/>
          <w:sz w:val="24"/>
        </w:rPr>
        <w:t>ProParam</w:t>
      </w:r>
      <w:r w:rsidRPr="0049313A">
        <w:rPr>
          <w:rFonts w:hAnsi="宋体"/>
          <w:color w:val="000000"/>
          <w:kern w:val="0"/>
          <w:sz w:val="24"/>
        </w:rPr>
        <w:t>工具</w:t>
      </w:r>
      <w:r w:rsidRPr="00D964EC" w:rsidR="00D964EC">
        <w:rPr>
          <w:rFonts w:hAnsi="宋体"/>
          <w:color w:val="000000"/>
          <w:kern w:val="0"/>
          <w:sz w:val="24"/>
        </w:rPr>
        <w:t>https://web.expasy.org/protparam/</w:t>
      </w:r>
      <w:r w:rsidRPr="0049313A">
        <w:rPr>
          <w:rFonts w:hAnsi="宋体"/>
          <w:color w:val="000000"/>
          <w:kern w:val="0"/>
          <w:sz w:val="24"/>
        </w:rPr>
        <w:t>进行以上三</w:t>
      </w:r>
      <w:r>
        <w:rPr>
          <w:rFonts w:hAnsi="宋体" w:hint="eastAsia"/>
          <w:color w:val="000000"/>
          <w:kern w:val="0"/>
          <w:sz w:val="24"/>
        </w:rPr>
        <w:t>个</w:t>
      </w:r>
      <w:r>
        <w:rPr>
          <w:rFonts w:hAnsi="宋体"/>
          <w:color w:val="000000"/>
          <w:kern w:val="0"/>
          <w:sz w:val="24"/>
        </w:rPr>
        <w:t>物种的</w:t>
      </w:r>
      <w:r w:rsidRPr="0049313A">
        <w:rPr>
          <w:rFonts w:hAnsi="宋体"/>
          <w:color w:val="000000"/>
          <w:kern w:val="0"/>
          <w:sz w:val="24"/>
        </w:rPr>
        <w:t>蛋</w:t>
      </w:r>
      <w:r w:rsidRPr="0049313A">
        <w:rPr>
          <w:rFonts w:hAnsi="宋体"/>
          <w:color w:val="000000"/>
          <w:kern w:val="0"/>
          <w:sz w:val="24"/>
        </w:rPr>
        <w:t>白质序列的氨基酸组成、分子质量、等电点</w:t>
      </w:r>
      <w:r w:rsidRPr="0049313A">
        <w:rPr>
          <w:rFonts w:hAnsi="宋体" w:hint="eastAsia"/>
          <w:color w:val="000000"/>
          <w:kern w:val="0"/>
          <w:sz w:val="24"/>
        </w:rPr>
        <w:t>、</w:t>
      </w:r>
      <w:r w:rsidRPr="0049313A">
        <w:rPr>
          <w:rFonts w:hint="eastAsia"/>
          <w:sz w:val="24"/>
        </w:rPr>
        <w:t>氨基酸组成、原子总数</w:t>
      </w:r>
      <w:r w:rsidRPr="0049313A">
        <w:rPr>
          <w:sz w:val="24"/>
        </w:rPr>
        <w:t>等理化性质的分析，</w:t>
      </w:r>
      <w:r w:rsidRPr="0049313A">
        <w:rPr>
          <w:color w:val="FF0000"/>
          <w:sz w:val="24"/>
        </w:rPr>
        <w:t>并比较三者之间的差异</w:t>
      </w:r>
      <w:r w:rsidRPr="0049313A">
        <w:rPr>
          <w:sz w:val="24"/>
        </w:rPr>
        <w:t>。</w:t>
      </w:r>
    </w:p>
    <w:p w:rsidR="00D5770C" w:rsidP="00D5770C" w14:paraId="771F53C2" w14:textId="19E22E8D">
      <w:pPr>
        <w:snapToGrid w:val="0"/>
        <w:spacing w:line="360" w:lineRule="auto"/>
        <w:ind w:left="48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298450</wp:posOffset>
                </wp:positionV>
                <wp:extent cx="1437005" cy="2305050"/>
                <wp:effectExtent l="13970" t="5715" r="6350" b="133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25" style="width:113.15pt;height:181.5pt;margin-top:23.5pt;margin-left:24.3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ed="f" strokecolor="red"/>
            </w:pict>
          </mc:Fallback>
        </mc:AlternateContent>
      </w:r>
      <w:r>
        <w:rPr>
          <w:rFonts w:hint="eastAsia"/>
          <w:sz w:val="24"/>
        </w:rPr>
        <w:t>答：</w:t>
      </w:r>
      <w:r w:rsidRPr="0049313A">
        <w:rPr>
          <w:sz w:val="24"/>
        </w:rPr>
        <w:t>Homo sapiens</w:t>
      </w:r>
      <w:r>
        <w:rPr>
          <w:rFonts w:hint="eastAsia"/>
          <w:sz w:val="24"/>
        </w:rPr>
        <w:t>：</w:t>
      </w:r>
    </w:p>
    <w:p w:rsidR="00D5770C" w:rsidP="00D5770C" w14:paraId="07DD40CD" w14:textId="0F3769DE">
      <w:pPr>
        <w:snapToGrid w:val="0"/>
        <w:spacing w:line="360" w:lineRule="auto"/>
        <w:ind w:left="48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3220085</wp:posOffset>
                </wp:positionV>
                <wp:extent cx="1437005" cy="146050"/>
                <wp:effectExtent l="10160" t="10160" r="10160" b="57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6" style="width:113.15pt;height:11.5pt;margin-top:253.55pt;margin-left:23.0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9504" filled="f" strokecolor="red"/>
            </w:pict>
          </mc:Fallback>
        </mc:AlternateContent>
      </w:r>
      <w:r w:rsidRPr="009F5615">
        <w:rPr>
          <w:noProof/>
        </w:rPr>
        <w:drawing>
          <wp:inline distT="0" distB="0" distL="0" distR="0">
            <wp:extent cx="1844040" cy="3348564"/>
            <wp:effectExtent l="0" t="0" r="381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949" cy="33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4E0BADBF" w14:textId="2D46C66F">
      <w:pPr>
        <w:snapToGrid w:val="0"/>
        <w:spacing w:line="360" w:lineRule="auto"/>
        <w:ind w:left="483"/>
        <w:rPr>
          <w:sz w:val="24"/>
        </w:rPr>
      </w:pPr>
      <w:r w:rsidRPr="00F844E7">
        <w:rPr>
          <w:sz w:val="24"/>
        </w:rPr>
        <w:t>Xenopus laevis</w:t>
      </w:r>
      <w:r>
        <w:rPr>
          <w:rFonts w:hint="eastAsia"/>
          <w:sz w:val="24"/>
        </w:rPr>
        <w:t>：</w:t>
      </w:r>
    </w:p>
    <w:p w:rsidR="00D5770C" w:rsidP="00D5770C" w14:paraId="311557D9" w14:textId="751652B5">
      <w:pPr>
        <w:snapToGrid w:val="0"/>
        <w:spacing w:line="36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3540760</wp:posOffset>
                </wp:positionV>
                <wp:extent cx="1437005" cy="146050"/>
                <wp:effectExtent l="9525" t="6985" r="10795" b="88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27" style="width:113.15pt;height:11.5pt;margin-top:278.8pt;margin-left:22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5408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6350</wp:posOffset>
                </wp:positionV>
                <wp:extent cx="1437005" cy="2235835"/>
                <wp:effectExtent l="8255" t="6350" r="12065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235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28" style="width:113.15pt;height:176.05pt;margin-top:0.5pt;margin-left:23.1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1312" filled="f" strokecolor="red"/>
            </w:pict>
          </mc:Fallback>
        </mc:AlternateContent>
      </w:r>
      <w:r>
        <w:rPr>
          <w:sz w:val="24"/>
        </w:rPr>
        <w:tab/>
      </w:r>
      <w:r w:rsidRPr="009F5615">
        <w:rPr>
          <w:noProof/>
        </w:rPr>
        <w:drawing>
          <wp:inline distT="0" distB="0" distL="0" distR="0">
            <wp:extent cx="2880360" cy="3688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1AD7E30C" w14:textId="63A777D4">
      <w:pPr>
        <w:snapToGrid w:val="0"/>
        <w:spacing w:line="360" w:lineRule="auto"/>
        <w:rPr>
          <w:rFonts w:hAnsi="宋体"/>
          <w:color w:val="000000"/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276225</wp:posOffset>
                </wp:positionV>
                <wp:extent cx="1437005" cy="2435860"/>
                <wp:effectExtent l="10160" t="9525" r="10160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2435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9" style="width:113.15pt;height:191.8pt;margin-top:21.75pt;margin-left:0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 filled="f" strokecolor="red"/>
            </w:pict>
          </mc:Fallback>
        </mc:AlternateContent>
      </w:r>
      <w:r w:rsidRPr="0049313A">
        <w:rPr>
          <w:rFonts w:hAnsi="宋体"/>
          <w:color w:val="000000"/>
          <w:kern w:val="0"/>
          <w:sz w:val="24"/>
        </w:rPr>
        <w:t>Macaca mulatta</w:t>
      </w:r>
      <w:r>
        <w:rPr>
          <w:rFonts w:hAnsi="宋体" w:hint="eastAsia"/>
          <w:color w:val="000000"/>
          <w:kern w:val="0"/>
          <w:sz w:val="24"/>
        </w:rPr>
        <w:t>：</w:t>
      </w:r>
    </w:p>
    <w:p w:rsidR="00D5770C" w:rsidP="00D5770C" w14:paraId="672DF436" w14:textId="174A48AB">
      <w:pPr>
        <w:snapToGrid w:val="0"/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3822065</wp:posOffset>
                </wp:positionV>
                <wp:extent cx="1437005" cy="146050"/>
                <wp:effectExtent l="10160" t="13335" r="10160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7005" cy="146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30" style="width:113.15pt;height:11.5pt;margin-top:300.95pt;margin-left:0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7456" filled="f" strokecolor="red"/>
            </w:pict>
          </mc:Fallback>
        </mc:AlternateContent>
      </w:r>
      <w:r w:rsidRPr="009F5615">
        <w:rPr>
          <w:noProof/>
        </w:rPr>
        <w:drawing>
          <wp:inline distT="0" distB="0" distL="0" distR="0">
            <wp:extent cx="3063240" cy="3992880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68FEA5F0" w14:textId="77777777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差异比较：人</w:t>
      </w:r>
      <w:r w:rsidRPr="0049313A">
        <w:rPr>
          <w:rFonts w:hAnsi="宋体" w:hint="eastAsia"/>
          <w:color w:val="000000"/>
          <w:kern w:val="0"/>
          <w:sz w:val="24"/>
        </w:rPr>
        <w:t>（</w:t>
      </w:r>
      <w:r w:rsidRPr="0049313A">
        <w:rPr>
          <w:sz w:val="24"/>
        </w:rPr>
        <w:t>Homo sapiens</w:t>
      </w:r>
      <w:r w:rsidRPr="0049313A">
        <w:rPr>
          <w:rFonts w:hAnsi="宋体" w:hint="eastAsia"/>
          <w:color w:val="000000"/>
          <w:kern w:val="0"/>
          <w:sz w:val="24"/>
        </w:rPr>
        <w:t>）</w:t>
      </w:r>
      <w:r>
        <w:rPr>
          <w:rFonts w:hAnsi="宋体" w:hint="eastAsia"/>
          <w:color w:val="000000"/>
          <w:kern w:val="0"/>
          <w:sz w:val="24"/>
        </w:rPr>
        <w:t>与猕猴</w:t>
      </w:r>
      <w:r w:rsidRPr="0049313A">
        <w:rPr>
          <w:rFonts w:hAnsi="宋体" w:hint="eastAsia"/>
          <w:color w:val="000000"/>
          <w:kern w:val="0"/>
          <w:sz w:val="24"/>
        </w:rPr>
        <w:t>（</w:t>
      </w:r>
      <w:r w:rsidRPr="0049313A">
        <w:rPr>
          <w:rFonts w:hAnsi="宋体"/>
          <w:color w:val="000000"/>
          <w:kern w:val="0"/>
          <w:sz w:val="24"/>
        </w:rPr>
        <w:t>Macaca mulatta</w:t>
      </w:r>
      <w:r w:rsidRPr="0049313A">
        <w:rPr>
          <w:rFonts w:hAnsi="宋体"/>
          <w:color w:val="000000"/>
          <w:kern w:val="0"/>
          <w:sz w:val="24"/>
        </w:rPr>
        <w:t>）</w:t>
      </w:r>
      <w:r w:rsidRPr="0049313A">
        <w:rPr>
          <w:rFonts w:hint="eastAsia"/>
          <w:sz w:val="24"/>
        </w:rPr>
        <w:t>转录因子</w:t>
      </w:r>
      <w:r w:rsidRPr="0049313A">
        <w:rPr>
          <w:rFonts w:hint="eastAsia"/>
          <w:sz w:val="24"/>
        </w:rPr>
        <w:t>SOX-21</w:t>
      </w:r>
      <w:r w:rsidRPr="0049313A">
        <w:rPr>
          <w:rFonts w:hint="eastAsia"/>
          <w:sz w:val="24"/>
        </w:rPr>
        <w:t>蛋白质序列</w:t>
      </w:r>
      <w:r>
        <w:rPr>
          <w:rFonts w:hint="eastAsia"/>
          <w:sz w:val="24"/>
        </w:rPr>
        <w:t>完全相同，且与</w:t>
      </w:r>
      <w:r w:rsidRPr="00F844E7">
        <w:rPr>
          <w:rFonts w:hint="eastAsia"/>
          <w:sz w:val="24"/>
        </w:rPr>
        <w:t>爪蟾（</w:t>
      </w:r>
      <w:r w:rsidRPr="00F844E7">
        <w:rPr>
          <w:sz w:val="24"/>
        </w:rPr>
        <w:t>Xenopus laevis</w:t>
      </w:r>
      <w:r w:rsidRPr="00CE247A">
        <w:rPr>
          <w:rFonts w:hint="eastAsia"/>
          <w:sz w:val="24"/>
        </w:rPr>
        <w:t>）</w:t>
      </w:r>
      <w:r>
        <w:rPr>
          <w:rFonts w:hint="eastAsia"/>
          <w:sz w:val="24"/>
        </w:rPr>
        <w:t>的序列仅在</w:t>
      </w:r>
      <w:r>
        <w:rPr>
          <w:rFonts w:hint="eastAsia"/>
          <w:sz w:val="24"/>
        </w:rPr>
        <w:t>A</w:t>
      </w:r>
      <w:r>
        <w:rPr>
          <w:sz w:val="24"/>
        </w:rPr>
        <w:t>la(A)</w:t>
      </w:r>
      <w:r>
        <w:rPr>
          <w:rFonts w:hint="eastAsia"/>
          <w:sz w:val="24"/>
        </w:rPr>
        <w:t>氨基酸含量上存在明显差异，整体上极为相似。说明该序列在进化过程中极具保守性。</w:t>
      </w:r>
    </w:p>
    <w:p w:rsidR="00D5770C" w:rsidP="00D5770C" w14:paraId="0C30DEBA" w14:textId="29D22ABE">
      <w:pPr>
        <w:snapToGrid w:val="0"/>
        <w:spacing w:line="360" w:lineRule="auto"/>
        <w:rPr>
          <w:sz w:val="24"/>
        </w:rPr>
      </w:pPr>
    </w:p>
    <w:p w:rsidR="002D4B9A" w:rsidP="00D5770C" w14:paraId="7EBE74DD" w14:textId="6B964B2D">
      <w:pPr>
        <w:snapToGrid w:val="0"/>
        <w:spacing w:line="360" w:lineRule="auto"/>
        <w:rPr>
          <w:sz w:val="24"/>
        </w:rPr>
      </w:pPr>
    </w:p>
    <w:p w:rsidR="002D4B9A" w:rsidP="00D5770C" w14:paraId="7FCEF827" w14:textId="4212E548">
      <w:pPr>
        <w:snapToGrid w:val="0"/>
        <w:spacing w:line="360" w:lineRule="auto"/>
        <w:rPr>
          <w:sz w:val="24"/>
        </w:rPr>
      </w:pPr>
    </w:p>
    <w:p w:rsidR="002D4B9A" w:rsidP="00D5770C" w14:paraId="69F2D165" w14:textId="23581285">
      <w:pPr>
        <w:snapToGrid w:val="0"/>
        <w:spacing w:line="360" w:lineRule="auto"/>
        <w:rPr>
          <w:sz w:val="24"/>
        </w:rPr>
      </w:pPr>
    </w:p>
    <w:p w:rsidR="002D4B9A" w:rsidRPr="0036245F" w:rsidP="00D5770C" w14:paraId="04CB3157" w14:textId="77777777">
      <w:pPr>
        <w:snapToGrid w:val="0"/>
        <w:spacing w:line="360" w:lineRule="auto"/>
        <w:rPr>
          <w:sz w:val="24"/>
        </w:rPr>
      </w:pPr>
    </w:p>
    <w:p w:rsidR="00D5770C" w:rsidRPr="004018F5" w:rsidP="00D5770C" w14:paraId="49DD46AF" w14:textId="2F999832">
      <w:pPr>
        <w:numPr>
          <w:ilvl w:val="0"/>
          <w:numId w:val="1"/>
        </w:numPr>
        <w:snapToGrid w:val="0"/>
        <w:spacing w:line="360" w:lineRule="auto"/>
        <w:ind w:left="483" w:leftChars="30"/>
        <w:rPr>
          <w:color w:val="000000"/>
          <w:kern w:val="0"/>
          <w:sz w:val="24"/>
        </w:rPr>
      </w:pPr>
      <w:r w:rsidRPr="0049313A">
        <w:rPr>
          <w:rFonts w:hint="eastAsia"/>
          <w:sz w:val="24"/>
        </w:rPr>
        <w:t>利用</w:t>
      </w:r>
      <w:r w:rsidRPr="0049313A">
        <w:rPr>
          <w:sz w:val="24"/>
        </w:rPr>
        <w:t>ProtScale</w:t>
      </w:r>
      <w:r w:rsidRPr="0049313A">
        <w:rPr>
          <w:sz w:val="24"/>
        </w:rPr>
        <w:t>工具</w:t>
      </w:r>
      <w:r w:rsidRPr="00D964EC" w:rsidR="00D964EC">
        <w:rPr>
          <w:sz w:val="24"/>
        </w:rPr>
        <w:t>https://web.expasy.org/protscale/</w:t>
      </w:r>
      <w:r w:rsidRPr="0049313A">
        <w:rPr>
          <w:sz w:val="24"/>
        </w:rPr>
        <w:t>对</w:t>
      </w:r>
      <w:r w:rsidRPr="0049313A">
        <w:rPr>
          <w:rFonts w:hint="eastAsia"/>
          <w:sz w:val="24"/>
        </w:rPr>
        <w:t>人</w:t>
      </w:r>
      <w:r w:rsidRPr="0049313A">
        <w:rPr>
          <w:rFonts w:hAnsi="宋体" w:hint="eastAsia"/>
          <w:color w:val="000000"/>
          <w:kern w:val="0"/>
          <w:sz w:val="24"/>
        </w:rPr>
        <w:t>（</w:t>
      </w:r>
      <w:r w:rsidRPr="0049313A">
        <w:rPr>
          <w:sz w:val="24"/>
        </w:rPr>
        <w:t>Homo sapiens</w:t>
      </w:r>
      <w:r w:rsidRPr="0049313A">
        <w:rPr>
          <w:rFonts w:hAnsi="宋体" w:hint="eastAsia"/>
          <w:color w:val="000000"/>
          <w:kern w:val="0"/>
          <w:sz w:val="24"/>
        </w:rPr>
        <w:t>）</w:t>
      </w:r>
      <w:r w:rsidRPr="0049313A">
        <w:rPr>
          <w:rFonts w:hint="eastAsia"/>
          <w:sz w:val="24"/>
        </w:rPr>
        <w:t>转录因子</w:t>
      </w:r>
      <w:r w:rsidRPr="0049313A">
        <w:rPr>
          <w:rFonts w:hint="eastAsia"/>
          <w:sz w:val="24"/>
        </w:rPr>
        <w:t>SOX-21</w:t>
      </w:r>
      <w:r w:rsidRPr="0049313A">
        <w:rPr>
          <w:rFonts w:hint="eastAsia"/>
          <w:sz w:val="24"/>
        </w:rPr>
        <w:t>蛋白质序列的疏水区进行分析。</w:t>
      </w:r>
    </w:p>
    <w:p w:rsidR="00D5770C" w:rsidP="00D5770C" w14:paraId="48ED7B7E" w14:textId="77777777">
      <w:pPr>
        <w:snapToGrid w:val="0"/>
        <w:spacing w:line="360" w:lineRule="auto"/>
        <w:ind w:left="483" w:leftChars="230"/>
      </w:pPr>
      <w:r w:rsidRPr="004018F5">
        <w:rPr>
          <w:rFonts w:hint="eastAsia"/>
          <w:sz w:val="24"/>
          <w:highlight w:val="yellow"/>
        </w:rPr>
        <w:t>参数设置</w:t>
      </w:r>
      <w:r>
        <w:rPr>
          <w:rFonts w:hint="eastAsia"/>
          <w:sz w:val="24"/>
        </w:rPr>
        <w:t>：</w:t>
      </w:r>
      <w:r w:rsidRPr="004018F5">
        <w:rPr>
          <w:rFonts w:hint="eastAsia"/>
        </w:rPr>
        <w:t>氨基酸标度：</w:t>
      </w:r>
      <w:hyperlink r:id="rId10" w:history="1">
        <w:r>
          <w:rPr>
            <w:rStyle w:val="Hyperlink"/>
          </w:rPr>
          <w:t>Hphob. / Kyte &amp; Doolittle</w:t>
        </w:r>
      </w:hyperlink>
      <w:r>
        <w:t xml:space="preserve"> </w:t>
      </w:r>
      <w:r>
        <w:t>方法；窗口尺寸：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t>。权重：</w:t>
      </w:r>
      <w:r>
        <w:rPr>
          <w:rFonts w:hint="eastAsia"/>
        </w:rPr>
        <w:t>50%</w:t>
      </w:r>
      <w:r>
        <w:rPr>
          <w:rFonts w:hint="eastAsia"/>
        </w:rPr>
        <w:t>；权重变化：</w:t>
      </w:r>
      <w:r>
        <w:rPr>
          <w:rFonts w:hint="eastAsia"/>
        </w:rPr>
        <w:t>linear</w:t>
      </w:r>
      <w:r>
        <w:rPr>
          <w:rFonts w:hint="eastAsia"/>
        </w:rPr>
        <w:t>；是否归一化：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:rsidR="00D5770C" w:rsidRPr="00550CDB" w:rsidP="00550CDB" w14:paraId="0935BDBE" w14:textId="5A2F7B16">
      <w:pPr>
        <w:snapToGrid w:val="0"/>
        <w:spacing w:line="360" w:lineRule="auto"/>
        <w:ind w:left="483"/>
        <w:rPr>
          <w:rFonts w:hAnsi="宋体"/>
          <w:sz w:val="24"/>
        </w:rPr>
      </w:pPr>
      <w:r w:rsidRPr="005516DD">
        <w:rPr>
          <w:rFonts w:hAnsi="宋体" w:hint="eastAsia"/>
          <w:sz w:val="24"/>
        </w:rPr>
        <w:t>答：</w:t>
      </w:r>
    </w:p>
    <w:p w:rsidR="00D5770C" w:rsidP="00550CDB" w14:paraId="7FEA2615" w14:textId="5A92AEF5">
      <w:pPr>
        <w:snapToGrid w:val="0"/>
        <w:spacing w:line="360" w:lineRule="auto"/>
        <w:ind w:left="483"/>
        <w:rPr>
          <w:rFonts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693420</wp:posOffset>
                </wp:positionV>
                <wp:extent cx="1935480" cy="1348740"/>
                <wp:effectExtent l="0" t="0" r="26670" b="228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35480" cy="134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1" style="width:152.4pt;height:106.2pt;margin-top:54.6pt;margin-left:141.6pt;mso-wrap-distance-bottom:0;mso-wrap-distance-left:9pt;mso-wrap-distance-right:9pt;mso-wrap-distance-top:0;mso-wrap-style:square;position:absolute;visibility:visible;v-text-anchor:middle;z-index:251675648" filled="f" strokecolor="red" strokeweight="1pt"/>
            </w:pict>
          </mc:Fallback>
        </mc:AlternateContent>
      </w:r>
      <w:r w:rsidRPr="009F5615" w:rsidR="007E249F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250825</wp:posOffset>
            </wp:positionV>
            <wp:extent cx="4259580" cy="3029585"/>
            <wp:effectExtent l="0" t="0" r="762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626262"/>
          <w:sz w:val="27"/>
          <w:szCs w:val="27"/>
          <w:shd w:val="clear" w:color="auto" w:fill="FFFFFF"/>
        </w:rPr>
        <w:t>Window size</w:t>
      </w:r>
      <w:r>
        <w:rPr>
          <w:rFonts w:ascii="Helvetica" w:hAnsi="Helvetica" w:cs="Helvetica" w:hint="eastAsia"/>
          <w:color w:val="626262"/>
          <w:sz w:val="27"/>
          <w:szCs w:val="27"/>
          <w:shd w:val="clear" w:color="auto" w:fill="FFFFFF"/>
        </w:rPr>
        <w:t>：</w:t>
      </w:r>
      <w:r>
        <w:rPr>
          <w:rFonts w:ascii="Helvetica" w:hAnsi="Helvetica" w:cs="Helvetica" w:hint="eastAsia"/>
          <w:color w:val="626262"/>
          <w:sz w:val="27"/>
          <w:szCs w:val="27"/>
          <w:shd w:val="clear" w:color="auto" w:fill="FFFFFF"/>
        </w:rPr>
        <w:t>3</w:t>
      </w:r>
    </w:p>
    <w:p w:rsidR="00D5770C" w:rsidP="00D5770C" w14:paraId="54C3F687" w14:textId="2A4711EE">
      <w:pPr>
        <w:snapToGrid w:val="0"/>
        <w:spacing w:line="360" w:lineRule="auto"/>
        <w:ind w:left="483"/>
        <w:rPr>
          <w:rFonts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3750945</wp:posOffset>
                </wp:positionV>
                <wp:extent cx="1935480" cy="906780"/>
                <wp:effectExtent l="0" t="0" r="2667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35480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2" style="width:152.4pt;height:71.4pt;margin-top:295.35pt;margin-left:147pt;mso-height-percent:0;mso-height-relative:margin;mso-wrap-distance-bottom:0;mso-wrap-distance-left:9pt;mso-wrap-distance-right:9pt;mso-wrap-distance-top:0;mso-wrap-style:square;position:absolute;visibility:visible;v-text-anchor:middle;z-index:251677696" filled="f" strokecolor="red" strokeweight="1pt"/>
            </w:pict>
          </mc:Fallback>
        </mc:AlternateContent>
      </w:r>
      <w:r w:rsidRPr="009F5615" w:rsidR="00550CDB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3289935</wp:posOffset>
            </wp:positionV>
            <wp:extent cx="4244340" cy="3310255"/>
            <wp:effectExtent l="0" t="0" r="381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626262"/>
          <w:sz w:val="27"/>
          <w:szCs w:val="27"/>
          <w:shd w:val="clear" w:color="auto" w:fill="FFFFFF"/>
        </w:rPr>
        <w:t>Window size</w:t>
      </w:r>
      <w:r>
        <w:rPr>
          <w:rFonts w:ascii="Helvetica" w:hAnsi="Helvetica" w:cs="Helvetica" w:hint="eastAsia"/>
          <w:color w:val="626262"/>
          <w:sz w:val="27"/>
          <w:szCs w:val="27"/>
          <w:shd w:val="clear" w:color="auto" w:fill="FFFFFF"/>
        </w:rPr>
        <w:t>：</w:t>
      </w:r>
      <w:r>
        <w:rPr>
          <w:rFonts w:ascii="Helvetica" w:hAnsi="Helvetica" w:cs="Helvetica"/>
          <w:color w:val="626262"/>
          <w:sz w:val="27"/>
          <w:szCs w:val="27"/>
          <w:shd w:val="clear" w:color="auto" w:fill="FFFFFF"/>
        </w:rPr>
        <w:t>9</w:t>
      </w:r>
    </w:p>
    <w:p w:rsidR="00D5770C" w:rsidP="00550CDB" w14:paraId="7CD57F77" w14:textId="37B6A926">
      <w:pPr>
        <w:snapToGrid w:val="0"/>
        <w:spacing w:line="360" w:lineRule="auto"/>
        <w:rPr>
          <w:rFonts w:hAnsi="宋体"/>
          <w:sz w:val="24"/>
        </w:rPr>
      </w:pPr>
    </w:p>
    <w:p w:rsidR="00D5770C" w:rsidRPr="005516DD" w:rsidP="00D5770C" w14:paraId="2588040C" w14:textId="4C4F1DD4">
      <w:pPr>
        <w:snapToGrid w:val="0"/>
        <w:spacing w:line="360" w:lineRule="auto"/>
        <w:ind w:left="483"/>
        <w:rPr>
          <w:rFonts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1798320</wp:posOffset>
                </wp:positionH>
                <wp:positionV relativeFrom="paragraph">
                  <wp:posOffset>693420</wp:posOffset>
                </wp:positionV>
                <wp:extent cx="1432560" cy="769620"/>
                <wp:effectExtent l="0" t="0" r="15240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3256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3" style="width:112.8pt;height:60.6pt;margin-top:54.6pt;margin-left:141.6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679744" filled="f" strokecolor="red" strokeweight="1pt">
                <w10:wrap anchorx="margin"/>
              </v:rect>
            </w:pict>
          </mc:Fallback>
        </mc:AlternateContent>
      </w:r>
      <w:r w:rsidRPr="009F5615" w:rsidR="00550CDB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289560</wp:posOffset>
            </wp:positionV>
            <wp:extent cx="3472180" cy="265176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color w:val="626262"/>
          <w:sz w:val="27"/>
          <w:szCs w:val="27"/>
          <w:shd w:val="clear" w:color="auto" w:fill="FFFFFF"/>
        </w:rPr>
        <w:t>Window size</w:t>
      </w:r>
      <w:r>
        <w:rPr>
          <w:rFonts w:ascii="Helvetica" w:hAnsi="Helvetica" w:cs="Helvetica" w:hint="eastAsia"/>
          <w:color w:val="626262"/>
          <w:sz w:val="27"/>
          <w:szCs w:val="27"/>
          <w:shd w:val="clear" w:color="auto" w:fill="FFFFFF"/>
        </w:rPr>
        <w:t>：</w:t>
      </w:r>
      <w:r>
        <w:rPr>
          <w:rFonts w:ascii="Helvetica" w:hAnsi="Helvetica" w:cs="Helvetica"/>
          <w:color w:val="626262"/>
          <w:sz w:val="27"/>
          <w:szCs w:val="27"/>
          <w:shd w:val="clear" w:color="auto" w:fill="FFFFFF"/>
        </w:rPr>
        <w:t>15</w:t>
      </w:r>
    </w:p>
    <w:p w:rsidR="00D5770C" w:rsidRPr="005516DD" w:rsidP="00D5770C" w14:paraId="6E101819" w14:textId="77777777">
      <w:pPr>
        <w:numPr>
          <w:ilvl w:val="0"/>
          <w:numId w:val="1"/>
        </w:numPr>
        <w:snapToGrid w:val="0"/>
        <w:spacing w:line="360" w:lineRule="auto"/>
        <w:ind w:left="483" w:leftChars="30"/>
        <w:rPr>
          <w:sz w:val="24"/>
        </w:rPr>
      </w:pPr>
      <w:r w:rsidRPr="0049313A">
        <w:rPr>
          <w:rFonts w:hAnsi="宋体"/>
          <w:sz w:val="24"/>
        </w:rPr>
        <w:t>利</w:t>
      </w:r>
      <w:r w:rsidRPr="0049313A">
        <w:rPr>
          <w:sz w:val="24"/>
        </w:rPr>
        <w:t>用</w:t>
      </w:r>
      <w:r w:rsidRPr="0049313A">
        <w:rPr>
          <w:sz w:val="24"/>
        </w:rPr>
        <w:t>TMHMM</w:t>
      </w:r>
      <w:r w:rsidRPr="0049313A">
        <w:rPr>
          <w:rFonts w:hAnsi="宋体"/>
          <w:sz w:val="24"/>
          <w:lang w:val="de-DE"/>
        </w:rPr>
        <w:t>、</w:t>
      </w:r>
      <w:r w:rsidRPr="0049313A">
        <w:rPr>
          <w:rFonts w:hAnsi="宋体" w:hint="eastAsia"/>
          <w:sz w:val="24"/>
        </w:rPr>
        <w:t>TMPRED</w:t>
      </w:r>
      <w:r w:rsidRPr="0049313A">
        <w:rPr>
          <w:rFonts w:hAnsi="宋体"/>
          <w:sz w:val="24"/>
          <w:lang w:val="de-DE"/>
        </w:rPr>
        <w:t>等工</w:t>
      </w:r>
      <w:r w:rsidRPr="0049313A">
        <w:rPr>
          <w:rFonts w:hAnsi="宋体"/>
          <w:sz w:val="24"/>
        </w:rPr>
        <w:t>具对</w:t>
      </w:r>
      <w:r w:rsidRPr="0049313A">
        <w:rPr>
          <w:rFonts w:hint="eastAsia"/>
          <w:sz w:val="24"/>
        </w:rPr>
        <w:t>人</w:t>
      </w:r>
      <w:r w:rsidRPr="0049313A">
        <w:rPr>
          <w:rFonts w:hAnsi="宋体" w:hint="eastAsia"/>
          <w:color w:val="000000"/>
          <w:kern w:val="0"/>
          <w:sz w:val="24"/>
        </w:rPr>
        <w:t>（</w:t>
      </w:r>
      <w:r w:rsidRPr="0049313A">
        <w:rPr>
          <w:sz w:val="24"/>
        </w:rPr>
        <w:t>Homo sapiens</w:t>
      </w:r>
      <w:r w:rsidRPr="0049313A">
        <w:rPr>
          <w:rFonts w:hAnsi="宋体" w:hint="eastAsia"/>
          <w:color w:val="000000"/>
          <w:kern w:val="0"/>
          <w:sz w:val="24"/>
        </w:rPr>
        <w:t>）</w:t>
      </w:r>
      <w:r w:rsidRPr="0049313A">
        <w:rPr>
          <w:rFonts w:hint="eastAsia"/>
          <w:sz w:val="24"/>
        </w:rPr>
        <w:t>转录因子</w:t>
      </w:r>
      <w:r w:rsidRPr="0049313A">
        <w:rPr>
          <w:rFonts w:hint="eastAsia"/>
          <w:sz w:val="24"/>
        </w:rPr>
        <w:t>SOX-21</w:t>
      </w:r>
      <w:r w:rsidRPr="0049313A">
        <w:rPr>
          <w:rFonts w:hAnsi="宋体"/>
          <w:sz w:val="24"/>
        </w:rPr>
        <w:t>蛋白质进行跨膜分析，</w:t>
      </w:r>
      <w:r w:rsidRPr="0049313A">
        <w:rPr>
          <w:rFonts w:hAnsi="宋体"/>
          <w:color w:val="FF0000"/>
          <w:sz w:val="24"/>
        </w:rPr>
        <w:t>并比较两个工具分析结果的差异</w:t>
      </w:r>
      <w:r w:rsidRPr="0049313A">
        <w:rPr>
          <w:rFonts w:hAnsi="宋体"/>
          <w:sz w:val="24"/>
        </w:rPr>
        <w:t>。</w:t>
      </w:r>
    </w:p>
    <w:p w:rsidR="00D5770C" w:rsidP="00D5770C" w14:paraId="7A796BD1" w14:textId="77777777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答：</w:t>
      </w:r>
      <w:r w:rsidRPr="0049313A">
        <w:rPr>
          <w:sz w:val="24"/>
        </w:rPr>
        <w:t>TMHMM</w:t>
      </w:r>
      <w:r>
        <w:rPr>
          <w:rFonts w:hint="eastAsia"/>
          <w:sz w:val="24"/>
        </w:rPr>
        <w:t>：</w:t>
      </w:r>
    </w:p>
    <w:p w:rsidR="00D5770C" w:rsidP="00D5770C" w14:paraId="1F2A3121" w14:textId="3E77A30F">
      <w:pPr>
        <w:snapToGrid w:val="0"/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1922145</wp:posOffset>
                </wp:positionV>
                <wp:extent cx="495300" cy="373380"/>
                <wp:effectExtent l="0" t="0" r="19050" b="266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34" style="width:39pt;height:29.4pt;margin-top:151.35pt;margin-left:177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9984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1929765</wp:posOffset>
                </wp:positionV>
                <wp:extent cx="495300" cy="373380"/>
                <wp:effectExtent l="0" t="0" r="19050" b="266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35" style="width:39pt;height:29.4pt;margin-top:151.95pt;margin-left:227.4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92032" filled="f" strokecolor="red" strokeweight="1pt"/>
            </w:pict>
          </mc:Fallback>
        </mc:AlternateContent>
      </w:r>
      <w:r w:rsidRPr="000F13F6">
        <w:rPr>
          <w:noProof/>
        </w:rPr>
        <w:drawing>
          <wp:inline distT="0" distB="0" distL="0" distR="0">
            <wp:extent cx="4107180" cy="26530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19" cy="26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30AB90BC" w14:textId="023BEB1C">
      <w:pPr>
        <w:snapToGrid w:val="0"/>
        <w:spacing w:line="360" w:lineRule="auto"/>
        <w:rPr>
          <w:rFonts w:hAnsi="宋体"/>
          <w:sz w:val="24"/>
        </w:rPr>
      </w:pPr>
      <w:r w:rsidRPr="0049313A">
        <w:rPr>
          <w:rFonts w:hAnsi="宋体" w:hint="eastAsia"/>
          <w:sz w:val="24"/>
        </w:rPr>
        <w:t>TMPRED</w:t>
      </w:r>
      <w:r>
        <w:rPr>
          <w:rFonts w:hAnsi="宋体" w:hint="eastAsia"/>
          <w:sz w:val="24"/>
        </w:rPr>
        <w:t>：</w:t>
      </w:r>
    </w:p>
    <w:p w:rsidR="00D5770C" w:rsidP="00D5770C" w14:paraId="40DC5CA8" w14:textId="539962FF">
      <w:pPr>
        <w:snapToGrid w:val="0"/>
        <w:spacing w:line="360" w:lineRule="auto"/>
        <w:rPr>
          <w:sz w:val="24"/>
        </w:rPr>
      </w:pPr>
      <w:r w:rsidRPr="000F13F6">
        <w:rPr>
          <w:noProof/>
        </w:rPr>
        <w:drawing>
          <wp:inline distT="0" distB="0" distL="0" distR="0">
            <wp:extent cx="1925139" cy="19964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16" cy="199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0C" w:rsidP="00D5770C" w14:paraId="60DB6322" w14:textId="37BED1ED">
      <w:pPr>
        <w:snapToGrid w:val="0"/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685800</wp:posOffset>
                </wp:positionV>
                <wp:extent cx="304800" cy="373380"/>
                <wp:effectExtent l="0" t="0" r="19050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0480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6" style="width:24pt;height:29.4pt;margin-top:54pt;margin-left:111.6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1792" filled="f" strokecolor="red" strokeweight="1pt"/>
            </w:pict>
          </mc:Fallback>
        </mc:AlternateContent>
      </w:r>
      <w:r w:rsidR="005B0D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426720</wp:posOffset>
                </wp:positionV>
                <wp:extent cx="495300" cy="373380"/>
                <wp:effectExtent l="0" t="0" r="1905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37" style="width:39pt;height:29.4pt;margin-top:33.6pt;margin-left:133.2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3840" filled="f" strokecolor="red" strokeweight="1pt"/>
            </w:pict>
          </mc:Fallback>
        </mc:AlternateContent>
      </w:r>
      <w:r w:rsidR="005B0D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487680</wp:posOffset>
                </wp:positionV>
                <wp:extent cx="495300" cy="373380"/>
                <wp:effectExtent l="0" t="0" r="19050" b="266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530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38" style="width:39pt;height:29.4pt;margin-top:38.4pt;margin-left:172.2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5888" filled="f" strokecolor="red" strokeweight="1pt"/>
            </w:pict>
          </mc:Fallback>
        </mc:AlternateContent>
      </w:r>
      <w:r w:rsidR="005B0D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678180</wp:posOffset>
                </wp:positionV>
                <wp:extent cx="373380" cy="281940"/>
                <wp:effectExtent l="0" t="0" r="26670" b="2286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7338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39" style="width:29.4pt;height:22.2pt;margin-top:53.4pt;margin-left:213.6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87936" filled="f" strokecolor="red" strokeweight="1pt"/>
            </w:pict>
          </mc:Fallback>
        </mc:AlternateContent>
      </w:r>
      <w:r w:rsidRPr="000F13F6">
        <w:rPr>
          <w:noProof/>
        </w:rPr>
        <w:drawing>
          <wp:inline distT="0" distB="0" distL="0" distR="0">
            <wp:extent cx="3636072" cy="290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73" cy="294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38" w:rsidP="00D5770C" w14:paraId="69C4C39C" w14:textId="231BC50E">
      <w:pPr>
        <w:snapToGrid w:val="0"/>
        <w:spacing w:line="360" w:lineRule="auto"/>
        <w:ind w:left="483"/>
        <w:rPr>
          <w:rFonts w:hAnsi="宋体"/>
          <w:sz w:val="24"/>
          <w:lang w:val="de-DE"/>
        </w:rPr>
      </w:pPr>
      <w:r w:rsidRPr="00915838">
        <w:rPr>
          <w:rFonts w:hint="eastAsia"/>
          <w:b/>
          <w:sz w:val="24"/>
        </w:rPr>
        <w:t>分析：</w:t>
      </w:r>
      <w:r w:rsidRPr="0049313A">
        <w:rPr>
          <w:sz w:val="24"/>
        </w:rPr>
        <w:t>TMHMM</w:t>
      </w:r>
      <w:r>
        <w:rPr>
          <w:rFonts w:hint="eastAsia"/>
          <w:sz w:val="24"/>
        </w:rPr>
        <w:t>分析在</w:t>
      </w:r>
      <w:r>
        <w:rPr>
          <w:rFonts w:hint="eastAsia"/>
          <w:sz w:val="24"/>
        </w:rPr>
        <w:t>1</w:t>
      </w:r>
      <w:r>
        <w:rPr>
          <w:sz w:val="24"/>
        </w:rPr>
        <w:t>40</w:t>
      </w:r>
      <w:r>
        <w:rPr>
          <w:rFonts w:hint="eastAsia"/>
          <w:sz w:val="24"/>
        </w:rPr>
        <w:t>~</w:t>
      </w:r>
      <w:r>
        <w:rPr>
          <w:sz w:val="24"/>
        </w:rPr>
        <w:t>180</w:t>
      </w:r>
      <w:r>
        <w:rPr>
          <w:rFonts w:hint="eastAsia"/>
          <w:sz w:val="24"/>
        </w:rPr>
        <w:t>,</w:t>
      </w:r>
      <w:r>
        <w:rPr>
          <w:sz w:val="24"/>
        </w:rPr>
        <w:t>190</w:t>
      </w:r>
      <w:r>
        <w:rPr>
          <w:rFonts w:hint="eastAsia"/>
          <w:sz w:val="24"/>
        </w:rPr>
        <w:t>~</w:t>
      </w:r>
      <w:r>
        <w:rPr>
          <w:sz w:val="24"/>
        </w:rPr>
        <w:t>220</w:t>
      </w:r>
      <w:r>
        <w:rPr>
          <w:rFonts w:hint="eastAsia"/>
          <w:sz w:val="24"/>
        </w:rPr>
        <w:t>处有可能俩个跨膜域</w:t>
      </w:r>
    </w:p>
    <w:p w:rsidR="00D5770C" w:rsidP="00D5770C" w14:paraId="5B7701D7" w14:textId="48669981">
      <w:pPr>
        <w:snapToGrid w:val="0"/>
        <w:spacing w:line="360" w:lineRule="auto"/>
        <w:ind w:left="483"/>
        <w:rPr>
          <w:rFonts w:hAnsi="宋体"/>
          <w:sz w:val="24"/>
        </w:rPr>
      </w:pPr>
      <w:r w:rsidRPr="0049313A">
        <w:rPr>
          <w:rFonts w:hAnsi="宋体" w:hint="eastAsia"/>
          <w:sz w:val="24"/>
        </w:rPr>
        <w:t>TMPRED</w:t>
      </w:r>
      <w:r>
        <w:rPr>
          <w:rFonts w:hAnsi="宋体" w:hint="eastAsia"/>
          <w:sz w:val="24"/>
        </w:rPr>
        <w:t>分析在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20</w:t>
      </w:r>
      <w:r>
        <w:rPr>
          <w:rFonts w:hAnsi="宋体" w:hint="eastAsia"/>
          <w:sz w:val="24"/>
        </w:rPr>
        <w:t>~</w:t>
      </w:r>
      <w:r>
        <w:rPr>
          <w:rFonts w:hAnsi="宋体"/>
          <w:sz w:val="24"/>
        </w:rPr>
        <w:t>125</w:t>
      </w:r>
      <w:r>
        <w:rPr>
          <w:rFonts w:hAnsi="宋体" w:hint="eastAsia"/>
          <w:sz w:val="24"/>
        </w:rPr>
        <w:t>,</w:t>
      </w:r>
      <w:r>
        <w:rPr>
          <w:rFonts w:hAnsi="宋体"/>
          <w:sz w:val="24"/>
        </w:rPr>
        <w:t>140</w:t>
      </w:r>
      <w:r>
        <w:rPr>
          <w:rFonts w:hAnsi="宋体" w:hint="eastAsia"/>
          <w:sz w:val="24"/>
        </w:rPr>
        <w:t>~</w:t>
      </w:r>
      <w:r>
        <w:rPr>
          <w:rFonts w:hAnsi="宋体"/>
          <w:sz w:val="24"/>
        </w:rPr>
        <w:t>170</w:t>
      </w:r>
      <w:r>
        <w:rPr>
          <w:rFonts w:hAnsi="宋体" w:hint="eastAsia"/>
          <w:sz w:val="24"/>
        </w:rPr>
        <w:t>,</w:t>
      </w:r>
      <w:r>
        <w:rPr>
          <w:rFonts w:hAnsi="宋体"/>
          <w:sz w:val="24"/>
        </w:rPr>
        <w:t>200</w:t>
      </w:r>
      <w:r>
        <w:rPr>
          <w:rFonts w:hAnsi="宋体" w:hint="eastAsia"/>
          <w:sz w:val="24"/>
        </w:rPr>
        <w:t>~</w:t>
      </w:r>
      <w:r>
        <w:rPr>
          <w:rFonts w:hAnsi="宋体"/>
          <w:sz w:val="24"/>
        </w:rPr>
        <w:t>220</w:t>
      </w:r>
      <w:r>
        <w:rPr>
          <w:rFonts w:hAnsi="宋体" w:hint="eastAsia"/>
          <w:sz w:val="24"/>
        </w:rPr>
        <w:t>,</w:t>
      </w:r>
      <w:r>
        <w:rPr>
          <w:rFonts w:hAnsi="宋体"/>
          <w:sz w:val="24"/>
        </w:rPr>
        <w:t>230</w:t>
      </w:r>
      <w:r>
        <w:rPr>
          <w:rFonts w:hAnsi="宋体" w:hint="eastAsia"/>
          <w:sz w:val="24"/>
        </w:rPr>
        <w:t>~</w:t>
      </w:r>
      <w:r>
        <w:rPr>
          <w:rFonts w:hAnsi="宋体"/>
          <w:sz w:val="24"/>
        </w:rPr>
        <w:t>250</w:t>
      </w:r>
      <w:r>
        <w:rPr>
          <w:rFonts w:hAnsi="宋体" w:hint="eastAsia"/>
          <w:sz w:val="24"/>
        </w:rPr>
        <w:t>处可能有四个跨膜域。</w:t>
      </w:r>
    </w:p>
    <w:p w:rsidR="00915838" w:rsidRPr="00915838" w:rsidP="00D5770C" w14:paraId="2BD57EEA" w14:textId="4CFFADC2">
      <w:pPr>
        <w:snapToGrid w:val="0"/>
        <w:spacing w:line="360" w:lineRule="auto"/>
        <w:ind w:left="483"/>
        <w:rPr>
          <w:sz w:val="24"/>
        </w:rPr>
      </w:pPr>
      <w:r>
        <w:rPr>
          <w:rFonts w:hint="eastAsia"/>
          <w:sz w:val="24"/>
        </w:rPr>
        <w:t>但俩工具均显示跨膜域存在的可能性较低。</w:t>
      </w:r>
    </w:p>
    <w:p w:rsidR="00D5770C" w:rsidP="00D5770C" w14:paraId="7F8E83EC" w14:textId="77777777">
      <w:pPr>
        <w:numPr>
          <w:ilvl w:val="0"/>
          <w:numId w:val="1"/>
        </w:numPr>
        <w:snapToGrid w:val="0"/>
        <w:spacing w:line="360" w:lineRule="auto"/>
        <w:ind w:left="483" w:leftChars="30"/>
        <w:rPr>
          <w:rFonts w:hAnsi="宋体"/>
          <w:sz w:val="24"/>
        </w:rPr>
      </w:pPr>
      <w:r w:rsidRPr="0049313A">
        <w:rPr>
          <w:rFonts w:hAnsi="宋体"/>
          <w:sz w:val="24"/>
        </w:rPr>
        <w:t>利用</w:t>
      </w:r>
      <w:r w:rsidRPr="0049313A">
        <w:rPr>
          <w:sz w:val="24"/>
        </w:rPr>
        <w:t>SignalIP</w:t>
      </w:r>
      <w:r w:rsidRPr="0049313A">
        <w:rPr>
          <w:sz w:val="24"/>
        </w:rPr>
        <w:t>工具</w:t>
      </w:r>
      <w:r w:rsidRPr="0049313A">
        <w:rPr>
          <w:rFonts w:hAnsi="宋体"/>
          <w:sz w:val="24"/>
        </w:rPr>
        <w:t>分析蛋白质序列的信号肽及其剪切位点。</w:t>
      </w:r>
    </w:p>
    <w:p w:rsidR="00D5770C" w:rsidP="00D5770C" w14:paraId="1967E761" w14:textId="77777777">
      <w:pPr>
        <w:snapToGrid w:val="0"/>
        <w:spacing w:line="360" w:lineRule="auto"/>
        <w:ind w:left="483" w:leftChars="230"/>
        <w:rPr>
          <w:rFonts w:hAnsi="宋体"/>
          <w:sz w:val="24"/>
        </w:rPr>
      </w:pPr>
      <w:r>
        <w:rPr>
          <w:rFonts w:hAnsi="宋体" w:hint="eastAsia"/>
          <w:sz w:val="24"/>
        </w:rPr>
        <w:t>参数设置：算法模型：</w:t>
      </w:r>
      <w:r w:rsidRPr="003628A6">
        <w:rPr>
          <w:rFonts w:hAnsi="宋体"/>
          <w:sz w:val="24"/>
        </w:rPr>
        <w:t>Neural networks</w:t>
      </w:r>
      <w:r w:rsidRPr="003628A6">
        <w:rPr>
          <w:rFonts w:hAnsi="宋体"/>
          <w:sz w:val="24"/>
        </w:rPr>
        <w:t>；其他为默认。</w:t>
      </w:r>
    </w:p>
    <w:p w:rsidR="009E1441" w:rsidP="00D5770C" w14:paraId="7A670E5D" w14:textId="52C45B2C">
      <w:pPr>
        <w:pStyle w:val="Default"/>
        <w:snapToGrid w:val="0"/>
        <w:spacing w:line="360" w:lineRule="auto"/>
        <w:jc w:val="both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1748155</wp:posOffset>
                </wp:positionV>
                <wp:extent cx="190500" cy="1135380"/>
                <wp:effectExtent l="0" t="0" r="19050" b="266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90500" cy="1135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" o:spid="_x0000_s1040" style="width:15pt;height:89.4pt;margin-top:137.65pt;margin-left:143.4pt;mso-width-percent:0;mso-width-relative:margin;mso-wrap-distance-bottom:0;mso-wrap-distance-left:9pt;mso-wrap-distance-right:9pt;mso-wrap-distance-top:0;mso-wrap-style:square;position:absolute;visibility:visible;v-text-anchor:middle;z-index:251694080" filled="f" strokecolor="red" strokeweight="1pt"/>
            </w:pict>
          </mc:Fallback>
        </mc:AlternateContent>
      </w:r>
      <w:r w:rsidR="00D5770C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213360</wp:posOffset>
            </wp:positionH>
            <wp:positionV relativeFrom="paragraph">
              <wp:posOffset>632460</wp:posOffset>
            </wp:positionV>
            <wp:extent cx="3794760" cy="406527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xmlns:r="http://schemas.openxmlformats.org/officeDocument/2006/relationships" r:embed="rId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70C">
        <w:rPr>
          <w:rFonts w:hint="eastAsia"/>
          <w:lang w:eastAsia="zh-CN"/>
        </w:rPr>
        <w:t>答：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CA24D06"/>
    <w:multiLevelType w:val="hybridMultilevel"/>
    <w:tmpl w:val="367821F0"/>
    <w:lvl w:ilvl="0">
      <w:start w:val="1"/>
      <w:numFmt w:val="decimal"/>
      <w:lvlText w:val="%1."/>
      <w:lvlJc w:val="left"/>
      <w:pPr>
        <w:ind w:left="714" w:hanging="420"/>
      </w:pPr>
    </w:lvl>
    <w:lvl w:ilvl="1" w:tentative="1">
      <w:start w:val="1"/>
      <w:numFmt w:val="lowerLetter"/>
      <w:lvlText w:val="%2)"/>
      <w:lvlJc w:val="left"/>
      <w:pPr>
        <w:ind w:left="1134" w:hanging="420"/>
      </w:pPr>
    </w:lvl>
    <w:lvl w:ilvl="2" w:tentative="1">
      <w:start w:val="1"/>
      <w:numFmt w:val="lowerRoman"/>
      <w:lvlText w:val="%3."/>
      <w:lvlJc w:val="right"/>
      <w:pPr>
        <w:ind w:left="1554" w:hanging="420"/>
      </w:pPr>
    </w:lvl>
    <w:lvl w:ilvl="3" w:tentative="1">
      <w:start w:val="1"/>
      <w:numFmt w:val="decimal"/>
      <w:lvlText w:val="%4."/>
      <w:lvlJc w:val="left"/>
      <w:pPr>
        <w:ind w:left="1974" w:hanging="420"/>
      </w:pPr>
    </w:lvl>
    <w:lvl w:ilvl="4" w:tentative="1">
      <w:start w:val="1"/>
      <w:numFmt w:val="lowerLetter"/>
      <w:lvlText w:val="%5)"/>
      <w:lvlJc w:val="left"/>
      <w:pPr>
        <w:ind w:left="2394" w:hanging="420"/>
      </w:pPr>
    </w:lvl>
    <w:lvl w:ilvl="5" w:tentative="1">
      <w:start w:val="1"/>
      <w:numFmt w:val="lowerRoman"/>
      <w:lvlText w:val="%6."/>
      <w:lvlJc w:val="right"/>
      <w:pPr>
        <w:ind w:left="2814" w:hanging="420"/>
      </w:pPr>
    </w:lvl>
    <w:lvl w:ilvl="6" w:tentative="1">
      <w:start w:val="1"/>
      <w:numFmt w:val="decimal"/>
      <w:lvlText w:val="%7."/>
      <w:lvlJc w:val="left"/>
      <w:pPr>
        <w:ind w:left="3234" w:hanging="420"/>
      </w:pPr>
    </w:lvl>
    <w:lvl w:ilvl="7" w:tentative="1">
      <w:start w:val="1"/>
      <w:numFmt w:val="lowerLetter"/>
      <w:lvlText w:val="%8)"/>
      <w:lvlJc w:val="left"/>
      <w:pPr>
        <w:ind w:left="3654" w:hanging="420"/>
      </w:pPr>
    </w:lvl>
    <w:lvl w:ilvl="8" w:tentative="1">
      <w:start w:val="1"/>
      <w:numFmt w:val="lowerRoman"/>
      <w:lvlText w:val="%9."/>
      <w:lvlJc w:val="right"/>
      <w:pPr>
        <w:ind w:left="407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1"/>
    <w:rsid w:val="002D4B9A"/>
    <w:rsid w:val="002F40A4"/>
    <w:rsid w:val="0036245F"/>
    <w:rsid w:val="003628A6"/>
    <w:rsid w:val="00375B9B"/>
    <w:rsid w:val="004018F5"/>
    <w:rsid w:val="00437345"/>
    <w:rsid w:val="0049313A"/>
    <w:rsid w:val="00550CDB"/>
    <w:rsid w:val="005516DD"/>
    <w:rsid w:val="005B0DD4"/>
    <w:rsid w:val="006571A0"/>
    <w:rsid w:val="007E249F"/>
    <w:rsid w:val="00847863"/>
    <w:rsid w:val="00915838"/>
    <w:rsid w:val="00970E26"/>
    <w:rsid w:val="009C410F"/>
    <w:rsid w:val="009E1441"/>
    <w:rsid w:val="00A0189F"/>
    <w:rsid w:val="00AD7F51"/>
    <w:rsid w:val="00AF5CCC"/>
    <w:rsid w:val="00CE247A"/>
    <w:rsid w:val="00D25A84"/>
    <w:rsid w:val="00D5770C"/>
    <w:rsid w:val="00D964EC"/>
    <w:rsid w:val="00E11698"/>
    <w:rsid w:val="00E12288"/>
    <w:rsid w:val="00F844E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B1D404"/>
  <w15:chartTrackingRefBased/>
  <w15:docId w15:val="{BCB18999-2FD5-4126-901D-FF7041BC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D57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D5770C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D57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D5770C"/>
    <w:rPr>
      <w:sz w:val="18"/>
      <w:szCs w:val="18"/>
    </w:rPr>
  </w:style>
  <w:style w:type="character" w:styleId="Hyperlink">
    <w:name w:val="Hyperlink"/>
    <w:rsid w:val="00D5770C"/>
    <w:rPr>
      <w:color w:val="0000FF"/>
      <w:u w:val="single"/>
    </w:rPr>
  </w:style>
  <w:style w:type="paragraph" w:customStyle="1" w:styleId="Default">
    <w:name w:val="Default"/>
    <w:rsid w:val="00D5770C"/>
    <w:pPr>
      <w:widowControl w:val="0"/>
      <w:suppressAutoHyphens/>
      <w:autoSpaceDE w:val="0"/>
    </w:pPr>
    <w:rPr>
      <w:rFonts w:ascii="宋体" w:eastAsia="宋体" w:hAnsi="宋体" w:cs="宋体"/>
      <w:color w:val="000000"/>
      <w:kern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eb.expasy.org/protscale/pscale/Hphob.Doolittle.html" TargetMode="External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png" /><Relationship Id="rId15" Type="http://schemas.openxmlformats.org/officeDocument/2006/relationships/image" Target="media/image11.png" /><Relationship Id="rId16" Type="http://schemas.openxmlformats.org/officeDocument/2006/relationships/image" Target="media/image12.png" /><Relationship Id="rId17" Type="http://schemas.openxmlformats.org/officeDocument/2006/relationships/image" Target="media/image13.pn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